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906"/>
      </w:tblGrid>
      <w:tr w:rsidR="005E642C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5E642C" w:rsidRDefault="00DA21C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40"/>
        <w:gridCol w:w="222"/>
        <w:gridCol w:w="1500"/>
        <w:gridCol w:w="2461"/>
      </w:tblGrid>
      <w:tr w:rsidR="005E642C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</w:tr>
      <w:tr w:rsidR="005E642C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E642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5E642C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5E642C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</w:tr>
      <w:tr w:rsidR="005E642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</w:tr>
      <w:tr w:rsidR="005E642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</w:tr>
      <w:tr w:rsidR="005E642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</w:tr>
      <w:tr w:rsidR="005E642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0"/>
              </w:rPr>
            </w:pPr>
          </w:p>
        </w:tc>
      </w:tr>
      <w:tr w:rsidR="005E642C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Управление финансов администрации 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урманска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957</w:t>
            </w:r>
          </w:p>
        </w:tc>
      </w:tr>
      <w:tr w:rsidR="005E642C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</w:tr>
      <w:tr w:rsidR="005E642C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городских округов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5E642C" w:rsidRDefault="00DA21C5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47701000</w:t>
            </w:r>
          </w:p>
        </w:tc>
      </w:tr>
      <w:tr w:rsidR="005E642C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</w:tr>
      <w:tr w:rsidR="005E642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5E642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</w:tr>
      <w:tr w:rsidR="005E642C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</w:tr>
    </w:tbl>
    <w:p w:rsidR="005E642C" w:rsidRDefault="00DA21C5">
      <w:pPr>
        <w:spacing w:before="240" w:after="240"/>
        <w:ind w:firstLine="709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Раздел I  «Организационная структура субъекта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бюджетной отчетности»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финансов администрации города Мурманска (далее – Управление финансов) является структурным подразделением администрации города Мурманска, осуществляющим исполнительно-распорядительную деятельность в финансовой и бюджетной сферах.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Управление фина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нсов является юридическим лицом. Управление финансов обеспечивает ведение единой финансовой политики в городе Мурманске и осуществляет руководство организацией финансов, координирует деятельность иных структурных подразделений администрации города Мурманск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бюджетно-финансовой сфере.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своей деятельности Управление финансов руководствуется Конституцией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ийской Федерации, законами Мурманской области, постановлениями и распоряжениями Губернатора и Правительства Мурманской области, приказами и инструкциями Министерства финансов Мурманской области, Уставом муниципального образования городской округ город-геро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Мурманск, решениями Совета депутатов города Мурманска, постановлениями и распоряжениями администрации города Мурманска, а также Положением об управлении финансов администрации города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Мурманска.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Основными целями деятельности Управления финансов являются: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и реализация единой финансовой и бюджетной политики в городе;  концентрация финансовых ресурсов на приоритетных направлениях социально-экономического развития города; разработка проекта бюджета города, обеспечение его исполнения, составление отч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 об исполнении бюджета города; управление муниципальным долгом города Мурманска, разработка и осуществление программ муниципальных заимствований, муниципальных гарантий;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совершенствование методов финансово-бюджетного планирования,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финансирования и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 на территории города; осуществление контроля за рациональным и целевым расходованием  бюджетных средств и иные задачи в пределах полномочий, возложенных Советом депутатов города Мурманска и главой города Мурманска.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II «Результаты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деятельности субъекта бюджетной отчетности»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Штатная численность Управления финансов по состоянию на 01.01.2025 – 49 человек.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Приняли участие в форумах,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вебинарах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семинарах, посвященных вопросам изменения бюджетного законодательства, стратегического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ланирования, цифрового будущего управления общественными финансами, трудового права, муниципального управления, изменения контрактной системы закупок всего 12 специалистов управления финансов.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2024 год по итогам конкурентных процедур заключено 2 муници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пальных контракта. Экономии по итогам конкурентных процедур нет. Кроме того, за счет средств бюджета муниципального образования город Мурманск по результатам проведения электронных аукционов было заключено 3 (три) муниципальных контракта на предоставление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кредитных средств бюджету муниципального образования город Мурманск.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финансов является заказчиком-координатором муниципальной программы «Управление муниципальными финансами» на 2023-2028 годы, утвержденной постановлением администрации города Мур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манска от 14.11.2022 № 3526.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составе муниципальной программы утверждены:</w:t>
      </w:r>
      <w:proofErr w:type="gramEnd"/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подпрограмма «Совершенствование организации деятельности органов местного самоуправления»;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подпрограмма «Обеспечение эффективного управления муниципальными финансами».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финансов является участником муниципальной программы «Развитие конкурентоспособной экономики» на 2023-2028 годы, утвержденной постановлением администрации города Мурманска от 14.11.2022 № 3522, в составе подпрограммы «Повышение инвестиционной и туристско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привлекательности города Мурманска».</w:t>
      </w:r>
    </w:p>
    <w:p w:rsidR="005E642C" w:rsidRDefault="00DA21C5">
      <w:pPr>
        <w:spacing w:before="240"/>
        <w:ind w:firstLine="709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III «Анализ отчета об исполнении бюджета субъектом бюджетной отчетности»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об исполнении бюджета представлены в форме 0503164.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01.01.2025 доходы по коду: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95711302994040000130 составили 32,60 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перечислены в доход бюджета средства, поступившие от УФПС Мурманской области, дебиторская задолженность прошлых лет;                     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95720215002040000150 составили 747 918 652,00 руб. – дотация на поддержку мер по обеспечению сбалансированности бюдж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етов из областного бюджета бюджету муниципального образования город Мурманск в соответствии с Соглашением о предоставлении дотации на поддержку мер по обеспечению сбалансированности бюджетов из областного бюджета бюджету муниципального образования город 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рманск от 21.03.2024 № 808-3320270030-24-4; 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95720249999040000150 составили 29 974 000,00 – иные межбюджетные трансферты из областного бюджета бюджетам городских округов в целях поощрения муниципальных образований Мурманской области за достижения в развити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гражданского общества и повышении открытости органов местного самоуправления, согласно постановлениям Правительства Мурманской области от 15.04.2024 № 240-ПП, от 16.12.2024 № 879-ПП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(код причины 99).</w:t>
      </w:r>
    </w:p>
    <w:p w:rsidR="005E642C" w:rsidRDefault="00DA21C5">
      <w:pPr>
        <w:spacing w:before="240" w:after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причина исполнения бюджета по расходам в объе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 менее 95 % объясняется необходимостью резервирования денежных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ц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 исполнения возложенных функций, досрочным погашением кредитов и уплатой процентов в сроки, установленные кредитными договорами.</w:t>
      </w:r>
    </w:p>
    <w:p w:rsidR="005E642C" w:rsidRDefault="00DA21C5">
      <w:pPr>
        <w:spacing w:before="240" w:after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Отчету о бюджетных обязательствах форма 0503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128 превышение принятых бюджетных (денежных) обязательств над лимитами бюджетных обязательств по КБК </w:t>
      </w:r>
      <w:hyperlink r:id="rId4">
        <w:r w:rsidRPr="0037576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95701139940099990 244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(247, 831) в общей сумме 214 559,81 руб. обусловлено принятием обязательств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поступившим исполнительным документам, подлежащим оплате за счет казны муниципального образования город Мурманск. </w:t>
      </w:r>
    </w:p>
    <w:p w:rsidR="005E642C" w:rsidRDefault="00DA21C5">
      <w:pPr>
        <w:spacing w:before="240" w:after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IV «Анализ показателей бухгалтерской отчетности субъекта бюджетной отчетности»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 движении нефинансовых активов представлены в форме 0503168 по бюджетной деятельности.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01.01.2024 балансовая стоимость основных средств составляет                          12 834 425,09 руб.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Принято к учету основных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на сумму 408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500,40 руб.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Списано основных средств на общую сумму 1 095 265,12 руб., в том числе: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забалансовый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учет при вводе в эксплуатацию на сумму 406 588,97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непригодных для дальнейшего использования и утилизированных основных средств на сумму 688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676,15 руб.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01.01.2025 балансовая стоимость основных средств составляет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12 147 660,37 руб.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дебиторской и кредитор</w:t>
      </w:r>
      <w:r w:rsidR="003757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ской задолженности представлены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форме 0503169.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Просроченной кредиторской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долженности, нереальной к взысканию дебиторской задолженности на 01.01.2025 нет.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Дебиторская задолженность по состоянию на 01.01.2025 по сравнению с аналогичным периодом 2024 года уменьшилась на 696 488 598,28 руб., в связи с уменьшением начисления к посту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плению доходов в объеме дотации на поддержку мер по обеспечению сбалансированности местных бюджетов от Министерства финансов Мурманской области на 2025 год.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Кредиторская задолженность по состоянию на 01.01.2025 года по сравнению с аналогичным периодом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года уменьшилась на 870 360 823,68 руб. в связи с уменьшением задолженности, образовавшейся вследствие привлечения свободных остатков средств бюджетных и автономных учреждений, участников казначейского сопровождения.</w:t>
      </w:r>
    </w:p>
    <w:p w:rsidR="005E642C" w:rsidRDefault="00DA21C5">
      <w:pPr>
        <w:spacing w:before="240"/>
        <w:ind w:firstLine="709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по дебиторской задолженности</w:t>
      </w:r>
    </w:p>
    <w:p w:rsidR="005E642C" w:rsidRDefault="00DA21C5">
      <w:pPr>
        <w:spacing w:before="240" w:after="240"/>
        <w:ind w:right="11" w:firstLine="709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tbl>
      <w:tblPr>
        <w:tblW w:w="9497" w:type="dxa"/>
        <w:tblInd w:w="250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629"/>
        <w:gridCol w:w="2203"/>
        <w:gridCol w:w="4665"/>
      </w:tblGrid>
      <w:tr w:rsidR="005E642C"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keepLines/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                   (код) счета бюджетного учета                        (без КБК)</w:t>
            </w:r>
          </w:p>
        </w:tc>
        <w:tc>
          <w:tcPr>
            <w:tcW w:w="2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keepLines/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5E642C" w:rsidRDefault="00DA21C5">
            <w:pPr>
              <w:keepLines/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keepLines/>
              <w:ind w:right="11" w:firstLine="70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образования</w:t>
            </w:r>
          </w:p>
        </w:tc>
      </w:tr>
      <w:tr w:rsidR="005E642C">
        <w:tc>
          <w:tcPr>
            <w:tcW w:w="18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1.206.21.000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2 703,00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текущая задолженность (аванс) на оплату услуг почтовой связи </w:t>
            </w:r>
          </w:p>
        </w:tc>
      </w:tr>
      <w:tr w:rsidR="005E642C">
        <w:tc>
          <w:tcPr>
            <w:tcW w:w="18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1.206.26.000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39 079,00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текущая задолженность (аванс) на оплату подписки на 1 полугодие 2025 года</w:t>
            </w:r>
          </w:p>
        </w:tc>
      </w:tr>
      <w:tr w:rsidR="005E642C">
        <w:tc>
          <w:tcPr>
            <w:tcW w:w="18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Дт задолженности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41 782,00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5E642C">
            <w:pPr>
              <w:ind w:right="11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5E642C" w:rsidRDefault="00DA21C5">
      <w:pPr>
        <w:spacing w:before="240"/>
        <w:ind w:firstLine="709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по кредиторской задолженности</w:t>
      </w:r>
    </w:p>
    <w:p w:rsidR="005E642C" w:rsidRDefault="00DA21C5">
      <w:pPr>
        <w:spacing w:before="240" w:after="240"/>
        <w:ind w:right="11" w:firstLine="709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tbl>
      <w:tblPr>
        <w:tblW w:w="9497" w:type="dxa"/>
        <w:tblInd w:w="250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629"/>
        <w:gridCol w:w="2049"/>
        <w:gridCol w:w="4819"/>
      </w:tblGrid>
      <w:tr w:rsidR="005E642C" w:rsidTr="00C800E0">
        <w:tc>
          <w:tcPr>
            <w:tcW w:w="2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                   (код) счета бюджетного учета                        (без КБК)</w:t>
            </w:r>
          </w:p>
        </w:tc>
        <w:tc>
          <w:tcPr>
            <w:tcW w:w="20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5E642C" w:rsidRDefault="00DA21C5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конец отчетного периода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образования</w:t>
            </w:r>
          </w:p>
        </w:tc>
      </w:tr>
      <w:tr w:rsidR="005E642C" w:rsidTr="00C800E0">
        <w:tc>
          <w:tcPr>
            <w:tcW w:w="2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1.302.23.000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116 294,59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текущая задолженность за коммунальные услуги по исполнительным листам за счет казны муниципального образования</w:t>
            </w:r>
          </w:p>
        </w:tc>
      </w:tr>
      <w:tr w:rsidR="005E642C" w:rsidTr="00C800E0">
        <w:tc>
          <w:tcPr>
            <w:tcW w:w="2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1.302.25.000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11 992,46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текущая задолженность за услуги по содержанию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ремонту помещений по исполнительным листам за счет казны муниципального образования</w:t>
            </w:r>
          </w:p>
        </w:tc>
      </w:tr>
      <w:tr w:rsidR="005E642C" w:rsidTr="00C800E0">
        <w:tc>
          <w:tcPr>
            <w:tcW w:w="2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1.302.75.000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1 396 969 590,61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текущая задолженность, образовавшаяся вследствие привлечения свободных остатков средств бюджетных и автономных учреждений, участников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казначейского сопровождения</w:t>
            </w:r>
          </w:p>
        </w:tc>
      </w:tr>
      <w:tr w:rsidR="005E642C" w:rsidTr="00C800E0">
        <w:tc>
          <w:tcPr>
            <w:tcW w:w="2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1.302.97.000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86 272,76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текущая задолженность по возмещению судебных расходов по исполнительным листам за счет казны муниципального образования</w:t>
            </w:r>
          </w:p>
        </w:tc>
      </w:tr>
      <w:tr w:rsidR="005E642C" w:rsidTr="00C800E0">
        <w:tc>
          <w:tcPr>
            <w:tcW w:w="2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1.303.15.000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159 244,65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текущая задолженность по взносам по единому страховому тарифу за декабрь 2024 года </w:t>
            </w:r>
          </w:p>
        </w:tc>
      </w:tr>
      <w:tr w:rsidR="005E642C" w:rsidTr="00C800E0">
        <w:tc>
          <w:tcPr>
            <w:tcW w:w="2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Кт задолженности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1 397 343 395,07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5E642C">
            <w:pPr>
              <w:ind w:right="11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E642C" w:rsidTr="00C800E0">
        <w:tc>
          <w:tcPr>
            <w:tcW w:w="26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E642C" w:rsidRDefault="00DA21C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1.401.60.000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15 697 317,29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начислены резервы предстоящих расходов на оплату отпусков за фактически отработанное время с учетом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страховых взносов</w:t>
            </w:r>
          </w:p>
        </w:tc>
      </w:tr>
      <w:tr w:rsidR="005E642C" w:rsidTr="00C800E0">
        <w:tc>
          <w:tcPr>
            <w:tcW w:w="2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61 619 365,00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 w:rsidP="00C800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начислены резервы предстоящих расходов на оплату убытков и судебных расходов по исполнительному листу от 18.11.2024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ФС 049801716 </w:t>
            </w:r>
          </w:p>
        </w:tc>
      </w:tr>
      <w:tr w:rsidR="005E642C" w:rsidTr="00C800E0">
        <w:tc>
          <w:tcPr>
            <w:tcW w:w="2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по счету 1.401.60.000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ind w:right="11" w:firstLine="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77 316 682,29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муниципальном долге представлены в форме 0503172.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строке 160 Баланса форма 0503130 по счету 1.401.50 «Расходы будущих периодов» на 01.01.2025 отражены расходы всего в сумме 5 958 669,74 руб., в том числе: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оплату отпускных работникам за январь 2025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года с учетом начислений страховых взносов,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2024 году в сумме 281 831,88 руб.,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приобретение неисключительных (пользовательских) прав на программные продукты, произведенные в 2024 году в сумме 5 676 837,86 руб., но относящиеся к расходам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будущих периодов.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строке 520 Баланса форма 0503130 по счету 1.401.60 «Резервы предстоящих расходов» на 01.01.2025 отражены сформированные резервы всего в сумме 77 316 682,29 руб., в том числе: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оплату отпусков за фактически отработанное время с учето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страховых взносов в сумме 15 697 317,29 руб.,</w:t>
      </w:r>
    </w:p>
    <w:p w:rsidR="005E642C" w:rsidRDefault="00DA21C5">
      <w:pPr>
        <w:spacing w:before="240" w:after="240"/>
        <w:ind w:firstLine="709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оплату исполнительного листа от 18.11.2024 № ФС 049801716, выданного Арбитражным судом города Москвы согласно решению от 15.05.2024 по делу А40-84124/23-126-657, поступившего в УФК по Мурманской области 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.11.2024 по заявлению ООО «СК ПРОФМОНТАЖ» (Определением Арбитражного суда Московского округа от 14.01.2025 удовлетворено ходатайство управления финансов о приостановлении судебных актов.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 решения суда от 15.05.2024 и постановления суда от 07.11.2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024 по делу А40-84124/2023 приостановлено до окончания производства в суде кассационной инстанции.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рассмотрения кассационной жалобы не назначена.).</w:t>
      </w:r>
      <w:proofErr w:type="gramEnd"/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Расшифровка имущества, числящегося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забалансовом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счете 01 «Имущество, полученное в пользование»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строке 010 Справки к Балансу формы 0503130: 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726"/>
        <w:gridCol w:w="1587"/>
        <w:gridCol w:w="6258"/>
      </w:tblGrid>
      <w:tr w:rsidR="005E642C"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both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Забалансовый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счет</w:t>
            </w:r>
          </w:p>
        </w:tc>
        <w:tc>
          <w:tcPr>
            <w:tcW w:w="15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Данные отчетности 2021 года, руб.</w:t>
            </w:r>
          </w:p>
        </w:tc>
        <w:tc>
          <w:tcPr>
            <w:tcW w:w="6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Пояснения</w:t>
            </w:r>
          </w:p>
        </w:tc>
      </w:tr>
      <w:tr w:rsidR="005E642C">
        <w:tc>
          <w:tcPr>
            <w:tcW w:w="1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4 891 175,98</w:t>
            </w: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</w:tr>
      <w:tr w:rsidR="005E642C">
        <w:tc>
          <w:tcPr>
            <w:tcW w:w="1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4 891 175,98</w:t>
            </w: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Имущество, обязанность по содержанию которого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отсутствует (нежилые помещения, переданные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Управлению финансов ММБУ «Управление по обеспечению деятельности органов местного самоуправления города Мурманска», на которое возложена обязанность по содержанию данных помещений). В соответствии с письмом Министерства финансов Российской Федерации от 13.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12.2017 № 02-07-07/83464, к таким операциям СГС «Аренда» не применяется.</w:t>
            </w:r>
          </w:p>
        </w:tc>
      </w:tr>
    </w:tbl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разделе 4 Сведений о принятых и неисполненных обязательствах получателя бюджетных средств (форма 0503175) отражена информация о результатах применения конкурентных способов закуп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ок. В разделе 3 отражена информация о принятых бюджетных обязательствах сверх утвержденных бюджетных назначений по </w:t>
      </w:r>
      <w:r w:rsidRPr="00C800E0">
        <w:rPr>
          <w:rFonts w:ascii="Times New Roman" w:eastAsia="Times New Roman" w:hAnsi="Times New Roman" w:cs="Times New Roman"/>
          <w:sz w:val="24"/>
          <w:szCs w:val="24"/>
        </w:rPr>
        <w:t xml:space="preserve">КБК </w:t>
      </w:r>
      <w:hyperlink r:id="rId5">
        <w:r w:rsidRPr="00C800E0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95701139940099990 244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(247, 831) в общей сумме 214 559,81 руб., что обусловлено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нятием обязательств по поступившим исполнительным документам, подлежащим оплате за счет казны муниципального образования город Мурманск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(код причины 99)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E642C" w:rsidRDefault="005E642C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показателях по сегментам.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Управление финансов является органом местного самоуправления,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подведомственных учреждений не имеет, относится к сегменту бюджетные единицы.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по сегменту бюджетные единицы отражены в формах бюджетной отчетности и в текстовой части данной Пояснительной записки.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Признанные доходы и расходы в разрезе КОСГУ за 2024 год отражены в Отчете о финансовых результатах деятельности ф.0503121. </w:t>
      </w:r>
    </w:p>
    <w:p w:rsidR="005E642C" w:rsidRDefault="00DA21C5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составляет 777 991 547,00 руб. </w:t>
      </w:r>
    </w:p>
    <w:p w:rsidR="005E642C" w:rsidRDefault="00DA21C5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величина признанных расходов составляет  521 686 869,72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</w:p>
    <w:p w:rsidR="005E642C" w:rsidRDefault="00DA21C5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2023 году:</w:t>
      </w:r>
    </w:p>
    <w:p w:rsidR="005E642C" w:rsidRDefault="00DA21C5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составляла 1 499 915 184,85 руб. </w:t>
      </w:r>
    </w:p>
    <w:p w:rsidR="005E642C" w:rsidRDefault="00DA21C5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величина признанных расходов составляла  292 974 713,12 руб.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Общая величина нефинансовых и финансовых активов отражена в Балансе ф. 0503130 и по состоянию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31.12.2024 составляет 7 131 666,66 руб., по состоянию на 31.12.2023 составляла 735 659 629,84 руб.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недвижимому и движимому имуществу представлены в Сведениях о движении нефинансовых активов ф. 0503168.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денежным средствам учрежде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представлены в ф. 0503178 (средства во временном распоряжении) и в Балансе ф.0503130 в стр. 201, 200.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финансовым вложениям отсутствуют.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Показатели по расчетам по доходам представлены в Сведениях о дебиторской и кредиторской задолженности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ф. 0503169.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Показатели по предоставленным кредитам, займам представлены в Сведениях ф. 0503172. Кредиты, займы не предоставлялись. 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 Общая величина обязательств отражена в Балансе  ф. 0503130 и по состоянию на 31.12.2024 составляет 3 289 660 677,36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по состоянию на 31.12.2023 составляла 5 994 230 332,37 руб.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расчетам с кредиторами по долговым обязательствам отражены в Сведениях ф.0503172.</w:t>
      </w:r>
    </w:p>
    <w:p w:rsidR="005E642C" w:rsidRDefault="00DA21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Показатели по прочим расчетам с кредиторами и расчетам по платежам в бюджеты представлены в Сведе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ниях о дебиторской и кредиторской задолженности ф.0503169.</w:t>
      </w:r>
    </w:p>
    <w:p w:rsidR="005E642C" w:rsidRDefault="00DA21C5" w:rsidP="00C800E0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V «Прочие вопросы деятельности субъекта бюджетной отчетности»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Бюджетный учет осуществляется отделом бюджетного учета и отчетности в составе 6 (шесть) специалистов в соответствии с Федера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 законом от 06.12.2011 № 402-ФЗ «О бухгалтерском учете», бюджетным законодательством, приказом Министерства финансов Российской Федерации от 06.12.2010 № 162н «Об утверждении плана счетов бюджетного учета и инструкции по его применению», приказом Мини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стерства финансов Российской Федерации от 01.12.2010 № 157н «Об утверждении  Единого плана счетов бухгалтерского учета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органов государственной власти (государственных органов), органов местного самоуправления, органов управления государственными внебюд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жетными фондами, государственных академий наук, государственных (муниципальных)  учреждений и инструкции по его применению», федеральными </w:t>
      </w:r>
      <w:hyperlink r:id="rId6">
        <w:proofErr w:type="gramStart"/>
        <w:r>
          <w:rPr>
            <w:rStyle w:val="a3"/>
            <w:rFonts w:ascii="Times New Roman" w:eastAsia="Times New Roman" w:hAnsi="Times New Roman" w:cs="Times New Roman"/>
            <w:color w:val="000000"/>
            <w:sz w:val="24"/>
            <w:szCs w:val="24"/>
            <w:u w:val="none"/>
          </w:rPr>
          <w:t>стандарт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бухгалтерского учета для организаций государственного сектора, учетной политикой управления финансов администрации города Мурманска.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подтверждения показателей годовой бюджетной отчетности согласно Решению о проведении инве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нтаризации от 29.11.2024 проведена годовая инвентаризация объектов бухгалтерского учета. Расхождения не выявлены.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об исполнении судебных решений по денежным обязательствам бюджета представлены в форме 0503296.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2024 год исполнены 140 исполнительных документов по искам к муниципальному образованию город Мурманск за счет казны муниципального образования на общую сумму 8 459 229,68 руб.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КОСГУ 297 остаток неисполненных обязательств на 01.01.2025 составляет 86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272,76 руб., в том числе: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638" w:type="dxa"/>
        <w:tblInd w:w="108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57"/>
        <w:gridCol w:w="6505"/>
        <w:gridCol w:w="2076"/>
      </w:tblGrid>
      <w:tr w:rsidR="005E642C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Контрагент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КОСГУ 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86 272,76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Ситиматик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Исполнительный лист ФС №025301536 от 28.06.2024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400,00                     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№106582552 от 24.06.2024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№106584030 от 16.09.2024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Мурманоблгаз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ФС №025305518 от 09.09.2024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ФС №025305534 от 23.09.2024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4 160,92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ООО «МУЖСК»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Исполнительный лист ФС № 043307826 от 19.09.2024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470,50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Мурманэнергосбыт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ФС №043308290 от 21.10.2024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1 330,65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ФС №043308288 от 15.10.2024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2 034,46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ООО «ПКО Траст»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Исполнительный лист ФС №025305995 от 12.09.2024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74 248,23</w:t>
            </w:r>
          </w:p>
        </w:tc>
      </w:tr>
      <w:tr w:rsidR="005E642C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ind w:firstLine="70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 ФС №025305997 от 12.09.2024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42C" w:rsidRDefault="00DA21C5">
            <w:pPr>
              <w:spacing w:before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2 428,00</w:t>
            </w:r>
          </w:p>
        </w:tc>
      </w:tr>
    </w:tbl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имеют показателей следующие отчеты: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справка по консолидируемым расчетам (форма 0503125) по счетам бюджетного учета 130305000, 130305731, 130305831, 140110161, 140120251, 140120241, 140120281, 140149161, 140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141151, 140141161, 120561000, 120561561, 120561661, F40110195, F40110191, F40110189, М40110195, М40110191, М40110189;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сведения о целевых иностранных кредитах </w:t>
      </w:r>
      <w:hyperlink r:id="rId7">
        <w:r>
          <w:rPr>
            <w:rStyle w:val="a3"/>
            <w:rFonts w:ascii="Times New Roman" w:eastAsia="Times New Roman" w:hAnsi="Times New Roman" w:cs="Times New Roman"/>
            <w:color w:val="000000"/>
            <w:sz w:val="24"/>
            <w:szCs w:val="24"/>
            <w:u w:val="none"/>
          </w:rPr>
          <w:t>(форма 0503167)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сведения о финансовых вложениях получателя бюджетных средств, администратора источников финансирования дефи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цита бюджета (форма 0503171);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сведения об изменении остатков валюты баланса по бюджетным средствам, по средствам во временном распоряжении (форма 0503173);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сведения о доходах бюджета от перечисления части прибыли (дивидендов) государственных (муниципал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ьных) унитарных предприятий, иных организаций с государственным участием в капитале </w:t>
      </w:r>
      <w:hyperlink r:id="rId8">
        <w:r>
          <w:rPr>
            <w:rStyle w:val="a3"/>
            <w:rFonts w:ascii="Times New Roman" w:eastAsia="Times New Roman" w:hAnsi="Times New Roman" w:cs="Times New Roman"/>
            <w:color w:val="000000"/>
            <w:sz w:val="24"/>
            <w:szCs w:val="24"/>
            <w:u w:val="none"/>
          </w:rPr>
          <w:t>(форма 0503174)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сведения об остатках денежных средств на счетах (форма 0503178) по бюджетным средствам; 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сведения о вложениях в объекты недвижимого имущества, объектах незавершенного строительства </w:t>
      </w:r>
      <w:hyperlink r:id="rId9">
        <w:r>
          <w:rPr>
            <w:rStyle w:val="a3"/>
            <w:rFonts w:ascii="Times New Roman" w:eastAsia="Times New Roman" w:hAnsi="Times New Roman" w:cs="Times New Roman"/>
            <w:color w:val="000000"/>
            <w:sz w:val="24"/>
            <w:szCs w:val="24"/>
            <w:u w:val="none"/>
          </w:rPr>
          <w:t>(форма 0503190)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сведения о проведенных инвентаризациях (Таблица № 6);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 показателей отчетности субъекта бюджетной отчетности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(Таблица № 14);</w:t>
      </w:r>
    </w:p>
    <w:p w:rsidR="005E642C" w:rsidRDefault="00DA21C5">
      <w:pPr>
        <w:spacing w:before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причины увеличения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осроченной задолженности (Таблица № 15).</w:t>
      </w:r>
    </w:p>
    <w:p w:rsidR="005E642C" w:rsidRDefault="00DA21C5">
      <w:pPr>
        <w:rPr>
          <w:rFonts w:ascii="Times New Roman" w:eastAsia="Times New Roman" w:hAnsi="Times New Roman" w:cs="Times New Roman"/>
          <w:sz w:val="24"/>
        </w:rPr>
      </w:pPr>
      <w: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057"/>
        <w:gridCol w:w="4027"/>
        <w:gridCol w:w="2726"/>
      </w:tblGrid>
      <w:tr w:rsidR="005E642C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Ольга Викторовна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Умушкина</w:t>
            </w:r>
            <w:proofErr w:type="spellEnd"/>
          </w:p>
        </w:tc>
      </w:tr>
      <w:tr w:rsidR="005E642C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E642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42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Ольга Валентиновна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Овчинникова</w:t>
            </w:r>
            <w:proofErr w:type="spellEnd"/>
          </w:p>
        </w:tc>
      </w:tr>
      <w:tr w:rsidR="005E642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E642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5E642C">
            <w:pPr>
              <w:rPr>
                <w:sz w:val="24"/>
              </w:rPr>
            </w:pPr>
          </w:p>
        </w:tc>
      </w:tr>
      <w:tr w:rsidR="005E642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Ольга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Валентиновна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вчинникова</w:t>
            </w:r>
            <w:proofErr w:type="spellEnd"/>
          </w:p>
        </w:tc>
      </w:tr>
      <w:tr w:rsidR="005E642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E642C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DA21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5E642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42C" w:rsidRDefault="005E642C">
            <w:pPr>
              <w:rPr>
                <w:sz w:val="24"/>
              </w:rPr>
            </w:pPr>
          </w:p>
        </w:tc>
      </w:tr>
    </w:tbl>
    <w:p w:rsidR="005E642C" w:rsidRDefault="00DA21C5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5E642C" w:rsidSect="005E642C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5E642C"/>
    <w:rsid w:val="00375761"/>
    <w:rsid w:val="005E642C"/>
    <w:rsid w:val="00C800E0"/>
    <w:rsid w:val="00DA2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6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5E642C"/>
  </w:style>
  <w:style w:type="character" w:styleId="a3">
    <w:name w:val="Hyperlink"/>
    <w:rsid w:val="005E642C"/>
    <w:rPr>
      <w:color w:val="0000FF"/>
      <w:u w:val="single"/>
    </w:rPr>
  </w:style>
  <w:style w:type="table" w:styleId="1">
    <w:name w:val="Table Simple 1"/>
    <w:basedOn w:val="a1"/>
    <w:rsid w:val="005E642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00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0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8416911C4089442D2941C1318B4A4AA57C79609160FD0CF3A20379A6E0403B086C2B5EDC02qFr9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BEDA88E01B99B6EDE0583B5A587BBC2D453380E8614D6FA535677F5935F6650154586B4D43D919Bt3iDN" TargetMode="Externa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D74E80655D7CAB9C84387A5BC045917A7702FDFEFCE6BCED9580C337ABDA2B1931DBC4A692E86D61P4N" TargetMode="External"/><Relationship Id="rId11" Type="http://schemas.openxmlformats.org/officeDocument/2006/relationships/image" Target="media/image2.png"/><Relationship Id="rId5" Type="http://schemas.openxmlformats.org/officeDocument/2006/relationships/hyperlink" Target="about:1872598.101240.3983733.5121330" TargetMode="External"/><Relationship Id="rId10" Type="http://schemas.openxmlformats.org/officeDocument/2006/relationships/image" Target="media/image1.png"/><Relationship Id="rId4" Type="http://schemas.openxmlformats.org/officeDocument/2006/relationships/hyperlink" Target="about:1872598.101240.3983733.5121330" TargetMode="External"/><Relationship Id="rId9" Type="http://schemas.openxmlformats.org/officeDocument/2006/relationships/hyperlink" Target="consultantplus://offline/ref=19E7B6F673756FFCA929939B29C54180A29A58CE22A9D16D564B3F0C8E651FED4FA4F6405749Z4fF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2770</Words>
  <Characters>15792</Characters>
  <Application>Microsoft Office Word</Application>
  <DocSecurity>0</DocSecurity>
  <Lines>131</Lines>
  <Paragraphs>37</Paragraphs>
  <ScaleCrop>false</ScaleCrop>
  <Company>HP Inc.</Company>
  <LinksUpToDate>false</LinksUpToDate>
  <CharactersWithSpaces>18525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svod-app01/www-data</dc:creator>
  <cp:lastModifiedBy>OvchinnikovaOV</cp:lastModifiedBy>
  <cp:revision>2</cp:revision>
  <dcterms:created xsi:type="dcterms:W3CDTF">2025-02-25T12:00:00Z</dcterms:created>
  <dcterms:modified xsi:type="dcterms:W3CDTF">2025-02-25T12:00:00Z</dcterms:modified>
</cp:coreProperties>
</file>