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III. Подпрограмма «Комплексные меры по профилактике</w:t>
      </w:r>
      <w:r w:rsidR="00FB0C5A">
        <w:rPr>
          <w:rFonts w:ascii="Times New Roman" w:hAnsi="Times New Roman" w:cs="Times New Roman"/>
          <w:sz w:val="28"/>
          <w:szCs w:val="28"/>
        </w:rPr>
        <w:t xml:space="preserve"> </w:t>
      </w:r>
      <w:r w:rsidRPr="00A36742">
        <w:rPr>
          <w:rFonts w:ascii="Times New Roman" w:hAnsi="Times New Roman" w:cs="Times New Roman"/>
          <w:sz w:val="28"/>
          <w:szCs w:val="28"/>
        </w:rPr>
        <w:t xml:space="preserve">наркомании </w:t>
      </w:r>
    </w:p>
    <w:p w:rsidR="00691D5A" w:rsidRPr="00A367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в городе Мурманске</w:t>
      </w:r>
      <w:proofErr w:type="gramStart"/>
      <w:r w:rsidRPr="00A3674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36742">
        <w:rPr>
          <w:rFonts w:ascii="Times New Roman" w:hAnsi="Times New Roman" w:cs="Times New Roman"/>
          <w:sz w:val="28"/>
          <w:szCs w:val="28"/>
        </w:rPr>
        <w:t>а 2014 - 201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67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91D5A" w:rsidRPr="000673CD" w:rsidRDefault="00691D5A" w:rsidP="00691D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Сокращения, принятые в подпрограмме: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ГОБУЗ «МОНД» - ГОБУЗ «Мурманский областной наркологический диспансер»;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УФСКН по МО - Управление Федеральной службы по контролю за оборотом наркотиков по Мурманской области;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ГОБУЗ «МОЦ СПИД» - ГОБУЗ «Мурманский областной центр по профилактике и борьбе со СПИД и инфекционными заболеваниями»;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КСПВООДМ АГМ 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КО АГМ - комитет по образованию администрации города Мурманска;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КК АГМ - комитет по культуре администрации города Мурманска;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КФКС АГМ - комитет по физической культуре и спорту администрации города Мурманска.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5"/>
        <w:gridCol w:w="6690"/>
      </w:tblGrid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Муниципальная программа города Мурманска «Обеспечение безопасности проживания и охрана окружающей среды»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105B6B">
              <w:rPr>
                <w:rFonts w:ascii="Times New Roman" w:hAnsi="Times New Roman" w:cs="Times New Roman"/>
              </w:rPr>
              <w:t>годы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проведенных семинаров, тренингов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образованию администрации города Мурманска;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физической культуре и спорту администрации города Мурманска;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культуре администрации города Мурманска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- координатор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F51115">
              <w:rPr>
                <w:rFonts w:ascii="Times New Roman" w:hAnsi="Times New Roman" w:cs="Times New Roman"/>
              </w:rPr>
              <w:t>4291,9</w:t>
            </w:r>
            <w:r w:rsidRPr="00105B6B">
              <w:rPr>
                <w:rFonts w:ascii="Times New Roman" w:hAnsi="Times New Roman" w:cs="Times New Roman"/>
              </w:rPr>
              <w:t xml:space="preserve"> тыс. рублей, в т.ч.: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МБ: </w:t>
            </w:r>
            <w:r w:rsidR="00F51115">
              <w:rPr>
                <w:rFonts w:ascii="Times New Roman" w:hAnsi="Times New Roman" w:cs="Times New Roman"/>
              </w:rPr>
              <w:t>4291,9</w:t>
            </w:r>
            <w:r w:rsidRPr="00105B6B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2014 год - 777,0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2015 год - 745,8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2016 год - 712,6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2017 год - 696,7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2018 год - 685,4 тыс. руб.;</w:t>
            </w:r>
          </w:p>
          <w:p w:rsidR="00691D5A" w:rsidRPr="00105B6B" w:rsidRDefault="00691D5A" w:rsidP="00F51115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 xml:space="preserve">2019 год </w:t>
            </w:r>
            <w:r w:rsidR="00BD5955">
              <w:rPr>
                <w:rFonts w:ascii="Times New Roman" w:hAnsi="Times New Roman" w:cs="Times New Roman"/>
              </w:rPr>
              <w:t>–</w:t>
            </w:r>
            <w:r w:rsidR="00F51115">
              <w:rPr>
                <w:rFonts w:ascii="Times New Roman" w:hAnsi="Times New Roman" w:cs="Times New Roman"/>
              </w:rPr>
              <w:t>674,4</w:t>
            </w:r>
            <w:r w:rsidRPr="002278B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стабилизация криминогенной обстановки,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совершенствование и развитие антинаркотической пропаганды;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обеспечение комплексной, системной работы всех структур, работающих в сфере системы профилактики на территории города;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формирование среди молодежи активной жизненной позиции и интереса к здоровому образу жизни через проведение конкурсов, акций</w:t>
            </w:r>
          </w:p>
        </w:tc>
      </w:tr>
    </w:tbl>
    <w:p w:rsidR="009960E7" w:rsidRDefault="009960E7" w:rsidP="006F0E64">
      <w:pPr>
        <w:spacing w:after="0"/>
        <w:rPr>
          <w:rFonts w:ascii="Times New Roman" w:hAnsi="Times New Roman"/>
        </w:rPr>
      </w:pPr>
    </w:p>
    <w:p w:rsidR="006F0E64" w:rsidRDefault="008C56E6" w:rsidP="006F0E64">
      <w:pPr>
        <w:tabs>
          <w:tab w:val="left" w:pos="14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6E6">
        <w:rPr>
          <w:rFonts w:ascii="Times New Roman" w:hAnsi="Times New Roman"/>
          <w:sz w:val="28"/>
          <w:szCs w:val="28"/>
        </w:rPr>
        <w:t>1</w:t>
      </w:r>
      <w:r w:rsidR="00691D5A" w:rsidRPr="008C56E6">
        <w:rPr>
          <w:rFonts w:ascii="Times New Roman" w:hAnsi="Times New Roman" w:cs="Times New Roman"/>
          <w:sz w:val="28"/>
          <w:szCs w:val="28"/>
        </w:rPr>
        <w:t>.</w:t>
      </w:r>
      <w:r w:rsidR="00691D5A" w:rsidRPr="00235C42">
        <w:rPr>
          <w:rFonts w:ascii="Times New Roman" w:hAnsi="Times New Roman" w:cs="Times New Roman"/>
          <w:sz w:val="28"/>
          <w:szCs w:val="28"/>
        </w:rPr>
        <w:t xml:space="preserve"> Характеристика проблемы, на решение которой</w:t>
      </w:r>
    </w:p>
    <w:p w:rsidR="00691D5A" w:rsidRDefault="00691D5A" w:rsidP="006F0E64">
      <w:pPr>
        <w:tabs>
          <w:tab w:val="left" w:pos="14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6F0E64" w:rsidRPr="00235C42" w:rsidRDefault="006F0E64" w:rsidP="006F0E64">
      <w:pPr>
        <w:tabs>
          <w:tab w:val="left" w:pos="14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проблем, стоящих сегодня перед государством и обществом, на одно из первых мест в последние годы все чаще выходит проблема наркомании, токсикомании и алкоголизма, как глобальная угроза здоровью, жизни населения и национальной безопасности.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наркотических средств.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подготовки и реализации подпрограммы вызвана тем, что современная ситуация в стране в целом и городе Мурманске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(далее - наркотики), в сфере употребления алкоголя 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представляет серьезную угрозу здоровью населения, демографической ситуации и экономике города, правопорядку, а также безопасности региона.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сравнительном анализе итогов различных акций, направленных на профилактику наркомании, алкоголизма 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5 лет), наблюдается положительная динамика в изменении подходов к организации и проведению профилактических мероприятий.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позволит решить вопросы совершенствования системы первичной профилактики наркомании, алкоголизма 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направлением в реализации подпрограммы является организация и проведение профилактических мероприятий через широкую пропаганду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Мурманск складывается следующим образом.</w:t>
      </w:r>
    </w:p>
    <w:p w:rsid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По данным ГОБУЗ «Мурманский областной наркологический диспансер» на учёте в учреждениях здравоохранения состоит 787 жителей областного центра (600 - с диагнозом «наркомания» и 187 лиц, злоупотребляющих наркотиками с вредными последствиями).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 данным государственного областного бюджетного учреждения здравоохранения «Мурманский областной наркологический диспансер» общая заболеваемость психическими и поведенческими расстройствами, вызванными употреблением наркотиков, по городу Мурманску на 01.04.2014 составила 821 человек (на 01.04.2013 - 1076 человек).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114 человек сократилось количество лиц, состоящих на учете в связи с употреблением наркотических средств и психотропных веществ (с 244 человек по состоянию на 01.04.2013 до 137 человек - на 01.04.2014).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Количество лиц с диагнозом «наркомания» сократилось на 141 человека и составило 691 человек (832 человека - на 01.04.2013).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За употребление наркотиков с вредными последствиями на учете находятся 23 несовершеннолетних (аналогично периоду прошлого года - 27), из них с диагнозом «наркомания» - 0 (0 - на 01.04.2013).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Количество выездов бригад скорой медицинской помощи по фактам «острой интоксикации наркотиками» по итогам 4 месяцев 2014 года составило 396 случаев (аналогично периоду прошлого года - 335).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в январе - апреле 2014 года зарегистрировано 376 преступлений (аналогично периоду прошлого года - 416), связанных с незаконным оборотом наркотических средств и психотропных веществ. Из числа поставленных на учет 342 (аналогично периоду прошлого года - 370), или 90,9 % преступлений, относится к категории тяжких и особо тяжких (аналогично периоду прошлого года - 88,9 %). Удельный вес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от общего количества поставленных на учет преступлений составил 19,4 % (аналогично периоду прошлого года - 19,9 %).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Из незаконного оборота сотрудниками правоохранительных органов на территории города Мурманска изъято более 4,9 килограммов наркотических средств, психотропных и сильнодействующих веществ (аналогично периоду прошлого года - 16 килограммов), в том числе около 1,1 килограмма героина (аналогично периоду прошлого года - 0,9 килограмма), около 2,3 килограммов наркотиков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группы (аналогично периоду прошлого года - 2,2 килограмма), более 1 килограмма психотропных веществ (аналогично периоду прошлого года - 12,1 килограммов).</w:t>
      </w:r>
    </w:p>
    <w:p w:rsidR="000D32AE" w:rsidRPr="00105B6B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5C42">
        <w:rPr>
          <w:rFonts w:ascii="Times New Roman" w:hAnsi="Times New Roman" w:cs="Times New Roman"/>
          <w:sz w:val="28"/>
          <w:szCs w:val="28"/>
        </w:rPr>
        <w:t>В результате оперативно-служебной деятельности Управлением ФСКН России по Мурманской области в январе - апреле 2014 года на территории города Мурманска зарегистрировано 115 преступлений (аналогично периоду прошлого года - 141), в том числе 102 (аналогично периоду прошлого года - 124) категории тяжких и особо тяжких, доля которых от общего количества преступлений составляет 88,7 % (аналогично периоду прошлого года - 87,9 %). 68 или 59,1 %, (аналогично периоду прошлого года - 77 или 54,6 %) от числа всех зарегистрированных преступлений связаны с незаконным сбытом наркотиков</w:t>
      </w:r>
      <w:r w:rsidRPr="00105B6B">
        <w:rPr>
          <w:rFonts w:ascii="Times New Roman" w:hAnsi="Times New Roman" w:cs="Times New Roman"/>
        </w:rPr>
        <w:t>.</w:t>
      </w:r>
    </w:p>
    <w:p w:rsidR="000D32AE" w:rsidRPr="00105B6B" w:rsidRDefault="000D32AE" w:rsidP="000D32AE">
      <w:pPr>
        <w:rPr>
          <w:rFonts w:ascii="Times New Roman" w:hAnsi="Times New Roman"/>
        </w:rPr>
        <w:sectPr w:rsidR="000D32AE" w:rsidRPr="00105B6B" w:rsidSect="00691D5A">
          <w:headerReference w:type="default" r:id="rId7"/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В 1-ом квартале 2016 года впервые поставлено на учет с диагнозом «наркомания» 11 человек, 42 - впервые взяты под наблюдение за потребление наркотиков с вредными последствиями.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Количество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наркопотребителей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на 100000 населения в г. Мурманске составило 257,8, что выше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среднеобластного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показателя (257,6).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36 несовершеннолетних взяты под наблюдение врача-нарколога за потребление наркотиков с вредными последствиями.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Количество выездов бригад скорой медицинской помощи, связанных с передозировкой наркотиками, составило 228 (АППГ - 284). Бригадами скорой помощи зарегистрировано 3 случая смерти, наступившей от употребления наркотических средств и психотропных веществ (АППГ - 3).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По итогам 3-х месяцев 2016 года на территории областного центра зарегистрировано 290 преступлений, связанных с незаконным оборотом наркотиков (АППГ - 328).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Удельный вес зарегистрированной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наркопреступности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в городе Мурманске составил 15,2%, что выше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среднеобластного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показателя (11,5%).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Из числа поставленных на учет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наркопреступлений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258, или 88,9% противоправных деяний, относятся к категории тяжких и особо тяжких (АППГ - 292), 185 - связаны со сбытом наркотиков (АППГ - 227).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Из числа зарегистрированных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наркопреступлений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- 99 - по ст. 228 УК РФ (АППГ - 93);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- 187-по ст. 228.1 УК РФ (АППГ-231).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По итогам 3-х месяцев текущего года раскрыто 170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наркопреступлений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(АППГ - 186), в том числе 5 преступлений, совершенных в составе группы лиц по предварительному сговору, и 4 - в составе организованной преступной группы (АППГ - 7 и 0 соответственно).</w:t>
      </w:r>
    </w:p>
    <w:p w:rsidR="00FA44CD" w:rsidRPr="00235C42" w:rsidRDefault="00FA44CD" w:rsidP="00FA44CD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показатели(индикаторы) реализации подпрограммы</w:t>
      </w:r>
    </w:p>
    <w:p w:rsidR="00FA44CD" w:rsidRPr="00235C42" w:rsidRDefault="00FA44CD" w:rsidP="00FA4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792"/>
        <w:gridCol w:w="567"/>
        <w:gridCol w:w="1134"/>
        <w:gridCol w:w="992"/>
        <w:gridCol w:w="709"/>
        <w:gridCol w:w="708"/>
        <w:gridCol w:w="724"/>
        <w:gridCol w:w="709"/>
        <w:gridCol w:w="850"/>
        <w:gridCol w:w="709"/>
      </w:tblGrid>
      <w:tr w:rsidR="00FA44CD" w:rsidRPr="00105B6B" w:rsidTr="001A7120">
        <w:trPr>
          <w:jc w:val="center"/>
        </w:trPr>
        <w:tc>
          <w:tcPr>
            <w:tcW w:w="584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92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535" w:type="dxa"/>
            <w:gridSpan w:val="8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 2012</w:t>
            </w:r>
          </w:p>
        </w:tc>
        <w:tc>
          <w:tcPr>
            <w:tcW w:w="992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 2013</w:t>
            </w:r>
          </w:p>
        </w:tc>
        <w:tc>
          <w:tcPr>
            <w:tcW w:w="4409" w:type="dxa"/>
            <w:gridSpan w:val="6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A44CD" w:rsidRPr="00105B6B" w:rsidTr="001A7120">
        <w:trPr>
          <w:jc w:val="center"/>
        </w:trPr>
        <w:tc>
          <w:tcPr>
            <w:tcW w:w="10478" w:type="dxa"/>
            <w:gridSpan w:val="11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</w:p>
        </w:tc>
        <w:tc>
          <w:tcPr>
            <w:tcW w:w="567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2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  <w:tc>
          <w:tcPr>
            <w:tcW w:w="567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</w:tr>
    </w:tbl>
    <w:p w:rsidR="00FA44CD" w:rsidRPr="00105B6B" w:rsidRDefault="00FA44CD" w:rsidP="00FA44CD">
      <w:pPr>
        <w:pStyle w:val="ConsPlusNormal"/>
        <w:jc w:val="both"/>
        <w:rPr>
          <w:rFonts w:ascii="Times New Roman" w:hAnsi="Times New Roman" w:cs="Times New Roman"/>
        </w:rPr>
      </w:pPr>
    </w:p>
    <w:p w:rsidR="00FA44CD" w:rsidRDefault="00FA44CD" w:rsidP="00FA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rPr>
          <w:rFonts w:ascii="Times New Roman" w:hAnsi="Times New Roman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91D5A" w:rsidSect="00691D5A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подпрограммына 2014 - 2015 годы</w:t>
      </w:r>
    </w:p>
    <w:p w:rsidR="00691D5A" w:rsidRPr="00105B6B" w:rsidRDefault="00691D5A" w:rsidP="00691D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134"/>
        <w:gridCol w:w="1247"/>
        <w:gridCol w:w="964"/>
        <w:gridCol w:w="851"/>
        <w:gridCol w:w="850"/>
        <w:gridCol w:w="2438"/>
        <w:gridCol w:w="887"/>
        <w:gridCol w:w="851"/>
        <w:gridCol w:w="1984"/>
      </w:tblGrid>
      <w:tr w:rsidR="00691D5A" w:rsidRPr="00105B6B" w:rsidTr="00CE60CB">
        <w:trPr>
          <w:cantSplit/>
          <w:tblHeader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1247" w:type="dxa"/>
            <w:vMerge w:val="restart"/>
          </w:tcPr>
          <w:p w:rsidR="00691D5A" w:rsidRPr="00105B6B" w:rsidRDefault="00691D5A" w:rsidP="006F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Источники </w:t>
            </w:r>
            <w:r w:rsidR="006F0E64">
              <w:rPr>
                <w:rFonts w:ascii="Times New Roman" w:hAnsi="Times New Roman" w:cs="Times New Roman"/>
              </w:rPr>
              <w:t>ф</w:t>
            </w:r>
            <w:r w:rsidRPr="00105B6B">
              <w:rPr>
                <w:rFonts w:ascii="Times New Roman" w:hAnsi="Times New Roman" w:cs="Times New Roman"/>
              </w:rPr>
              <w:t>инансирования</w:t>
            </w:r>
          </w:p>
        </w:tc>
        <w:tc>
          <w:tcPr>
            <w:tcW w:w="2665" w:type="dxa"/>
            <w:gridSpan w:val="3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4176" w:type="dxa"/>
            <w:gridSpan w:val="3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Перечень организаций, участвующих в реализации программных мероприятий</w:t>
            </w:r>
          </w:p>
        </w:tc>
      </w:tr>
      <w:tr w:rsidR="00691D5A" w:rsidRPr="00105B6B" w:rsidTr="00CE60CB">
        <w:trPr>
          <w:cantSplit/>
          <w:tblHeader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  <w:tblHeader/>
        </w:trPr>
        <w:tc>
          <w:tcPr>
            <w:tcW w:w="510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691D5A" w:rsidRPr="00105B6B" w:rsidTr="00CE60CB">
        <w:trPr>
          <w:cantSplit/>
        </w:trPr>
        <w:tc>
          <w:tcPr>
            <w:tcW w:w="14891" w:type="dxa"/>
            <w:gridSpan w:val="11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Информирование населения об учреждениях и организациях, оказывающих целенаправленную помощь в вопросах лечения и реабилитации наркозависимых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Доля людей, получивших информацию, от общего числа обратившихся, %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здравоохранению администрации города Мурманска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Организация профилактической работы с учащимися, имеющими склонность к употреблению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 АГМ, УФСКН по МО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Организация проведения и участие в культурных, спортивно-массовых и оздоровительных мероприятиях с детьми, подростками и молодежью, способствующих предупреждению наркомании, производство и размещение информационных материалов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50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мероприятий, ед.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УФСКН по МО, МАУ МП «Дом молодежи»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Количество произведенных и размещенных аудио-,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видеорекламных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роликов, шт.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50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изготовленных и размещенных рекламных баннеров, шт.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изготовленных и распространенных информационных буклетов, листовок, плакатов, шт.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Тематическое комплектование библиотечных фондов книжными, электронными, аудиовизуальными изданиями по профилактике наркомании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КК АГМ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Размещение информации о профилактической акции «Сообщи, где торгуют смертью» на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и в СМИ города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мест, в которых размещена информация, ед.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УФСКН по МО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Организация и проведение профилактических акций, мероприятий среди учащихся общеобразовательных учреждений, семинаров, круглых столов, способствующих предупреждению правонарушений и наркомании несовершеннолетних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педагогических работников, участвующих в мероприятиях,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 АГМ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родителей (законных представителей несовершеннолетних), участвующих в мероприятиях,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13780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15052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Организация спортивных мероприятий среди подростков и молодежи с целью формирования здорового образа жизни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КФКС АГМ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134" w:type="dxa"/>
          </w:tcPr>
          <w:p w:rsidR="00DD3CC1" w:rsidRDefault="00DD3CC1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3CC1" w:rsidRPr="00DD3CC1" w:rsidRDefault="00DD3CC1" w:rsidP="00DD3CC1">
            <w:pPr>
              <w:rPr>
                <w:lang w:eastAsia="ru-RU"/>
              </w:rPr>
            </w:pPr>
          </w:p>
          <w:p w:rsidR="00691D5A" w:rsidRPr="00DD3CC1" w:rsidRDefault="00691D5A" w:rsidP="00DD3CC1">
            <w:pPr>
              <w:rPr>
                <w:lang w:eastAsia="ru-RU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1522,8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745,8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1D5A" w:rsidRPr="00235C42" w:rsidRDefault="00DD3CC1" w:rsidP="00DD3CC1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D5A" w:rsidRPr="00235C42">
        <w:rPr>
          <w:rFonts w:ascii="Times New Roman" w:hAnsi="Times New Roman" w:cs="Times New Roman"/>
          <w:sz w:val="28"/>
          <w:szCs w:val="28"/>
        </w:rPr>
        <w:t>.2. Перечень основных мероприятий подпрограммына 2016 - 201</w:t>
      </w:r>
      <w:r w:rsidR="00691D5A">
        <w:rPr>
          <w:rFonts w:ascii="Times New Roman" w:hAnsi="Times New Roman" w:cs="Times New Roman"/>
          <w:sz w:val="28"/>
          <w:szCs w:val="28"/>
        </w:rPr>
        <w:t>9</w:t>
      </w:r>
      <w:r w:rsidR="00691D5A"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678"/>
        <w:gridCol w:w="993"/>
        <w:gridCol w:w="992"/>
        <w:gridCol w:w="993"/>
        <w:gridCol w:w="708"/>
        <w:gridCol w:w="709"/>
        <w:gridCol w:w="851"/>
        <w:gridCol w:w="708"/>
        <w:gridCol w:w="2552"/>
        <w:gridCol w:w="709"/>
        <w:gridCol w:w="708"/>
        <w:gridCol w:w="709"/>
        <w:gridCol w:w="709"/>
        <w:gridCol w:w="2268"/>
      </w:tblGrid>
      <w:tr w:rsidR="00691D5A" w:rsidRPr="00105B6B" w:rsidTr="006F0E64">
        <w:trPr>
          <w:tblHeader/>
        </w:trPr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992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5387" w:type="dxa"/>
            <w:gridSpan w:val="5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Перечень организаций, участвующих в реализации программных мероприятий</w:t>
            </w:r>
          </w:p>
        </w:tc>
      </w:tr>
      <w:tr w:rsidR="00691D5A" w:rsidRPr="00105B6B" w:rsidTr="006F0E64">
        <w:trPr>
          <w:tblHeader/>
        </w:trPr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691D5A" w:rsidRDefault="00691D5A" w:rsidP="00691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691D5A" w:rsidRPr="00105B6B" w:rsidRDefault="00691D5A" w:rsidP="00691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rPr>
          <w:tblHeader/>
        </w:trPr>
        <w:tc>
          <w:tcPr>
            <w:tcW w:w="590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1D5A" w:rsidRPr="00105B6B" w:rsidTr="006F0E64">
        <w:tc>
          <w:tcPr>
            <w:tcW w:w="15877" w:type="dxa"/>
            <w:gridSpan w:val="15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691D5A" w:rsidRPr="00105B6B" w:rsidTr="006F0E64"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Основное мероприятие: организация профилактической работы по формированию здорового образа жизни и развитию антинаркотической пропаганды в городе Мурманске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2016 - 2018 гг.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1D5A" w:rsidRPr="008634A5" w:rsidRDefault="00D83D03" w:rsidP="00691D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2769,1</w:t>
            </w:r>
          </w:p>
        </w:tc>
        <w:tc>
          <w:tcPr>
            <w:tcW w:w="708" w:type="dxa"/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851" w:type="dxa"/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708" w:type="dxa"/>
          </w:tcPr>
          <w:p w:rsidR="00691D5A" w:rsidRPr="008634A5" w:rsidRDefault="00D83D03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мероприятий, ед.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М</w:t>
            </w:r>
            <w:r>
              <w:rPr>
                <w:rFonts w:ascii="Times New Roman" w:hAnsi="Times New Roman" w:cs="Times New Roman"/>
              </w:rPr>
              <w:t>АУ</w:t>
            </w:r>
            <w:r w:rsidRPr="00105B6B">
              <w:rPr>
                <w:rFonts w:ascii="Times New Roman" w:hAnsi="Times New Roman" w:cs="Times New Roman"/>
              </w:rPr>
              <w:t xml:space="preserve"> МП «Объединение молодежных центров», КО АГМ, Городской методический центр работников образования,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, МБОУ ДОД Первомайский ДДТ,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Торцева</w:t>
            </w:r>
            <w:proofErr w:type="spellEnd"/>
            <w:r w:rsidRPr="00105B6B">
              <w:rPr>
                <w:rFonts w:ascii="Times New Roman" w:hAnsi="Times New Roman" w:cs="Times New Roman"/>
              </w:rPr>
              <w:t>, КК АГМ, МБУК «Центральная городская библиотека города Мурманска», МБУК «Центральная детская библиотека города Мурманска», КФКС АГМ</w:t>
            </w:r>
          </w:p>
        </w:tc>
      </w:tr>
      <w:tr w:rsidR="00691D5A" w:rsidRPr="00105B6B" w:rsidTr="006F0E64">
        <w:trPr>
          <w:trHeight w:val="4951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1D5A" w:rsidRPr="008634A5" w:rsidRDefault="00D83D03" w:rsidP="00691D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2769,1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1D5A" w:rsidRPr="008634A5" w:rsidRDefault="00D83D03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15615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2016 - 2018 гг.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1D5A" w:rsidRPr="00940C04" w:rsidRDefault="00D83D03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2210,5</w:t>
            </w:r>
          </w:p>
          <w:p w:rsidR="00691D5A" w:rsidRPr="00940C04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569,8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558,1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546,8</w:t>
            </w:r>
          </w:p>
        </w:tc>
        <w:tc>
          <w:tcPr>
            <w:tcW w:w="708" w:type="dxa"/>
          </w:tcPr>
          <w:p w:rsidR="00691D5A" w:rsidRPr="00F068CF" w:rsidRDefault="00D83D03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535,8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D5A" w:rsidRPr="00105B6B" w:rsidTr="006F0E64">
        <w:trPr>
          <w:trHeight w:val="545"/>
        </w:trPr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691D5A" w:rsidRPr="00105B6B" w:rsidRDefault="00691D5A" w:rsidP="00691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vMerge w:val="restart"/>
          </w:tcPr>
          <w:p w:rsidR="00691D5A" w:rsidRPr="00940C04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0C04">
              <w:rPr>
                <w:rFonts w:ascii="Times New Roman" w:hAnsi="Times New Roman"/>
                <w:color w:val="000000"/>
              </w:rPr>
              <w:t>1487,7</w:t>
            </w:r>
          </w:p>
        </w:tc>
        <w:tc>
          <w:tcPr>
            <w:tcW w:w="708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389,1</w:t>
            </w:r>
          </w:p>
        </w:tc>
        <w:tc>
          <w:tcPr>
            <w:tcW w:w="709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377,4</w:t>
            </w:r>
          </w:p>
        </w:tc>
        <w:tc>
          <w:tcPr>
            <w:tcW w:w="851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366,1</w:t>
            </w:r>
          </w:p>
        </w:tc>
        <w:tc>
          <w:tcPr>
            <w:tcW w:w="708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355,1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мероприятий в сфере молодежной политике, ед.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М</w:t>
            </w:r>
            <w:r>
              <w:rPr>
                <w:rFonts w:ascii="Times New Roman" w:hAnsi="Times New Roman" w:cs="Times New Roman"/>
              </w:rPr>
              <w:t>А</w:t>
            </w:r>
            <w:r w:rsidRPr="00105B6B">
              <w:rPr>
                <w:rFonts w:ascii="Times New Roman" w:hAnsi="Times New Roman" w:cs="Times New Roman"/>
              </w:rPr>
              <w:t>У МП «Объединение молодежных центров»</w:t>
            </w: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940C04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6611B2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 из числа молодежи, чел.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 w:rsidRPr="008634A5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940C04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6611B2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изготовленных и распространенных информационных материалов, шт.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4113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 w:rsidRPr="008634A5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</w:tcPr>
          <w:p w:rsidR="00691D5A" w:rsidRPr="00940C04" w:rsidRDefault="00BD5955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0C04">
              <w:rPr>
                <w:rFonts w:ascii="Times New Roman" w:hAnsi="Times New Roman"/>
                <w:color w:val="000000"/>
              </w:rPr>
              <w:t>418,8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708" w:type="dxa"/>
          </w:tcPr>
          <w:p w:rsidR="00691D5A" w:rsidRPr="00F068CF" w:rsidRDefault="00BD5955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26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КК АГМ, МБУК «Центральная городская библиотека города Мурманска», МБУК «Центральная детская библиотека города Мурманска»</w:t>
            </w:r>
          </w:p>
        </w:tc>
      </w:tr>
      <w:tr w:rsidR="00691D5A" w:rsidRPr="00105B6B" w:rsidTr="006F0E64">
        <w:tc>
          <w:tcPr>
            <w:tcW w:w="590" w:type="dxa"/>
            <w:vMerge/>
            <w:tcBorders>
              <w:bottom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bottom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691D5A" w:rsidRPr="00940C04" w:rsidRDefault="00D83D03" w:rsidP="00691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222043" w:rsidRPr="00940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691D5A" w:rsidRPr="00FA44C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FA44C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91D5A" w:rsidRPr="00FA44C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FA44C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691D5A" w:rsidRPr="00FA44C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FA44C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691D5A" w:rsidRPr="00FA44CD" w:rsidRDefault="00D83D03" w:rsidP="00691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91D5A" w:rsidRPr="00FA44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педагогических работников, участвующих в мероприятиях, чел.</w:t>
            </w:r>
          </w:p>
        </w:tc>
        <w:tc>
          <w:tcPr>
            <w:tcW w:w="709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 АГМ, Городской методический центр работников образования,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, МБОУ ДОД Первомайский ДДТ,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Торцева</w:t>
            </w:r>
            <w:proofErr w:type="spellEnd"/>
          </w:p>
        </w:tc>
      </w:tr>
      <w:tr w:rsidR="00691D5A" w:rsidRPr="00105B6B" w:rsidTr="006F0E64">
        <w:tc>
          <w:tcPr>
            <w:tcW w:w="590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91D5A" w:rsidRPr="00BE1438" w:rsidRDefault="00691D5A" w:rsidP="00691D5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родителей (законных представителей несовершеннолетних), участвующих в мероприятиях, чел.</w:t>
            </w:r>
          </w:p>
        </w:tc>
        <w:tc>
          <w:tcPr>
            <w:tcW w:w="709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</w:tcBorders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 w:rsidRPr="008634A5">
              <w:rPr>
                <w:rFonts w:ascii="Times New Roman" w:hAnsi="Times New Roman"/>
              </w:rPr>
              <w:t>1000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BE1438" w:rsidRDefault="00691D5A" w:rsidP="00691D5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 мероприятий в сфере образования, чел.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Организация и проведение мероприятий по профилактике наркомании в городе Мурманске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2016 - 2018 гг.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1D5A" w:rsidRPr="00F068CF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68CF">
              <w:rPr>
                <w:rFonts w:ascii="Times New Roman" w:hAnsi="Times New Roman"/>
                <w:color w:val="000000"/>
              </w:rPr>
              <w:t>558,6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142,8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2552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 спортивных мероприятий, чел.</w:t>
            </w:r>
          </w:p>
        </w:tc>
        <w:tc>
          <w:tcPr>
            <w:tcW w:w="709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8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9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9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КФКС АГМ</w:t>
            </w:r>
          </w:p>
        </w:tc>
      </w:tr>
      <w:tr w:rsidR="00691D5A" w:rsidRPr="00105B6B" w:rsidTr="006F0E64">
        <w:trPr>
          <w:trHeight w:val="368"/>
        </w:trPr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</w:tcPr>
          <w:p w:rsidR="00691D5A" w:rsidRPr="00F068CF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68CF">
              <w:rPr>
                <w:rFonts w:ascii="Times New Roman" w:hAnsi="Times New Roman"/>
                <w:color w:val="000000"/>
              </w:rPr>
              <w:t>558,6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142,8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255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rPr>
          <w:trHeight w:val="276"/>
        </w:trPr>
        <w:tc>
          <w:tcPr>
            <w:tcW w:w="5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993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</w:tcPr>
          <w:p w:rsidR="00691D5A" w:rsidRPr="00FA44CD" w:rsidRDefault="00D83D03" w:rsidP="00691D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2769,1</w:t>
            </w:r>
          </w:p>
        </w:tc>
        <w:tc>
          <w:tcPr>
            <w:tcW w:w="708" w:type="dxa"/>
          </w:tcPr>
          <w:p w:rsidR="00691D5A" w:rsidRPr="00FA44CD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FA44CD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709" w:type="dxa"/>
          </w:tcPr>
          <w:p w:rsidR="00691D5A" w:rsidRPr="00FA44CD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FA44CD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851" w:type="dxa"/>
          </w:tcPr>
          <w:p w:rsidR="00691D5A" w:rsidRPr="00FA44CD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FA44CD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708" w:type="dxa"/>
          </w:tcPr>
          <w:p w:rsidR="00691D5A" w:rsidRPr="00FA44CD" w:rsidRDefault="00D83D03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1D5A" w:rsidRDefault="00691D5A" w:rsidP="00691D5A">
      <w:pPr>
        <w:pStyle w:val="ConsPlusNormal"/>
        <w:jc w:val="both"/>
        <w:rPr>
          <w:rFonts w:ascii="Times New Roman" w:hAnsi="Times New Roman" w:cs="Times New Roman"/>
        </w:rPr>
        <w:sectPr w:rsidR="00691D5A" w:rsidSect="006F0E64">
          <w:pgSz w:w="16838" w:h="11906" w:orient="landscape" w:code="9"/>
          <w:pgMar w:top="1134" w:right="851" w:bottom="567" w:left="1418" w:header="0" w:footer="0" w:gutter="0"/>
          <w:cols w:space="720"/>
        </w:sect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Определение объема реальных потребностей в финансировании подпрограммных мероприятий возможно только при обосновании всех параметров подпрограммы. Объемы финансирования подпрограммы на 2016 - 201</w:t>
      </w:r>
      <w:r w:rsidR="00A13653">
        <w:rPr>
          <w:rFonts w:ascii="Times New Roman" w:hAnsi="Times New Roman" w:cs="Times New Roman"/>
          <w:sz w:val="28"/>
          <w:szCs w:val="28"/>
        </w:rPr>
        <w:t>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уточнению в установленном порядке при формировании бюджета на соответствующий год.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</w:p>
    <w:p w:rsidR="00691D5A" w:rsidRPr="00105B6B" w:rsidRDefault="00691D5A" w:rsidP="00691D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1077"/>
        <w:gridCol w:w="992"/>
        <w:gridCol w:w="907"/>
        <w:gridCol w:w="992"/>
        <w:gridCol w:w="862"/>
        <w:gridCol w:w="981"/>
        <w:gridCol w:w="1025"/>
      </w:tblGrid>
      <w:tr w:rsidR="00691D5A" w:rsidRPr="00105B6B" w:rsidTr="00D44438">
        <w:trPr>
          <w:cantSplit/>
          <w:tblHeader/>
          <w:jc w:val="center"/>
        </w:trPr>
        <w:tc>
          <w:tcPr>
            <w:tcW w:w="368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759" w:type="dxa"/>
            <w:gridSpan w:val="6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691D5A" w:rsidRPr="00105B6B" w:rsidTr="00D44438">
        <w:trPr>
          <w:cantSplit/>
          <w:tblHeader/>
          <w:jc w:val="center"/>
        </w:trPr>
        <w:tc>
          <w:tcPr>
            <w:tcW w:w="368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91D5A" w:rsidRPr="00105B6B" w:rsidTr="00D44438">
        <w:trPr>
          <w:cantSplit/>
          <w:tblHeader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1077" w:type="dxa"/>
            <w:vAlign w:val="center"/>
          </w:tcPr>
          <w:p w:rsidR="00691D5A" w:rsidRPr="00E90500" w:rsidRDefault="00E43BA2" w:rsidP="0094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4291,9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777</w:t>
            </w:r>
            <w:r w:rsidR="002B0D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07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745,8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86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981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1025" w:type="dxa"/>
            <w:vAlign w:val="bottom"/>
          </w:tcPr>
          <w:p w:rsidR="00691D5A" w:rsidRPr="00E90500" w:rsidRDefault="00E43BA2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</w:tr>
      <w:tr w:rsidR="00691D5A" w:rsidRPr="00105B6B" w:rsidTr="00D44438">
        <w:trPr>
          <w:cantSplit/>
          <w:trHeight w:val="235"/>
          <w:jc w:val="center"/>
        </w:trPr>
        <w:tc>
          <w:tcPr>
            <w:tcW w:w="7649" w:type="dxa"/>
            <w:gridSpan w:val="5"/>
          </w:tcPr>
          <w:p w:rsidR="00691D5A" w:rsidRPr="00E90500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862" w:type="dxa"/>
          </w:tcPr>
          <w:p w:rsidR="00691D5A" w:rsidRPr="00E90500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91D5A" w:rsidRPr="00E90500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91D5A" w:rsidRPr="00E90500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D5A" w:rsidRPr="00105B6B" w:rsidTr="00D44438">
        <w:trPr>
          <w:cantSplit/>
          <w:trHeight w:val="199"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077" w:type="dxa"/>
            <w:vAlign w:val="center"/>
          </w:tcPr>
          <w:p w:rsidR="00691D5A" w:rsidRPr="00E90500" w:rsidRDefault="00E43BA2" w:rsidP="0094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4291,9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777</w:t>
            </w:r>
            <w:r w:rsidR="002B0D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07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745,8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86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981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1025" w:type="dxa"/>
            <w:vAlign w:val="bottom"/>
          </w:tcPr>
          <w:p w:rsidR="00691D5A" w:rsidRPr="00E90500" w:rsidRDefault="00E43BA2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7649" w:type="dxa"/>
            <w:gridSpan w:val="5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120">
              <w:rPr>
                <w:rFonts w:ascii="Times New Roman" w:hAnsi="Times New Roman" w:cs="Times New Roman"/>
              </w:rPr>
              <w:t>в том числе по заказчикам: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2354,3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377,4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355,1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2354,3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377,4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355,1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культуре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25" w:type="dxa"/>
          </w:tcPr>
          <w:p w:rsidR="00691D5A" w:rsidRPr="006611B2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25" w:type="dxa"/>
          </w:tcPr>
          <w:p w:rsidR="00691D5A" w:rsidRPr="006611B2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образованию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E43BA2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691D5A" w:rsidRPr="00105B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25" w:type="dxa"/>
          </w:tcPr>
          <w:p w:rsidR="00691D5A" w:rsidRPr="006611B2" w:rsidRDefault="00E43BA2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91D5A" w:rsidRPr="006611B2">
              <w:rPr>
                <w:rFonts w:ascii="Times New Roman" w:hAnsi="Times New Roman" w:cs="Times New Roman"/>
              </w:rPr>
              <w:t>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E43BA2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691D5A" w:rsidRPr="00105B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25" w:type="dxa"/>
          </w:tcPr>
          <w:p w:rsidR="00691D5A" w:rsidRPr="006611B2" w:rsidRDefault="00D83D03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91D5A" w:rsidRPr="006611B2">
              <w:rPr>
                <w:rFonts w:ascii="Times New Roman" w:hAnsi="Times New Roman" w:cs="Times New Roman"/>
              </w:rPr>
              <w:t>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91D5A" w:rsidRPr="00C90FA4" w:rsidRDefault="00691D5A" w:rsidP="00691D5A">
      <w:pPr>
        <w:tabs>
          <w:tab w:val="left" w:pos="3744"/>
        </w:tabs>
        <w:rPr>
          <w:rFonts w:ascii="Times New Roman" w:hAnsi="Times New Roman"/>
        </w:rPr>
        <w:sectPr w:rsidR="00691D5A" w:rsidRPr="00C90FA4" w:rsidSect="00691D5A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6F0E64" w:rsidRDefault="006F0E64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проведения основных мероприятий.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При реализации основных мероприятий заказчики, с учетом содержащихся в настоящем разделе рекомендаций и специфики деятельности, организуют работу по реализации подпрограммы, определяют основные направления, плановые показатели деятельности и несут ответственность за эффективность использования финансовых средств.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Заказчики подпрограммы определяют по согласованию с заказчиком-координатором подпрограммы основные направления и плановые показатели реализации подпрограммы, а также несут ответственность за достижение утвержденных показателей и индикаторов, позволяющих оценить ход реализации подпрограммы.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Периодичность рассмотрения вопросов о выполнении основных мероприятий - один раз в квартал.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 итогам работы в срок до 10-го числа месяца, следующего за отчетным кварталом, заказчиками заказчику-координатору подпрограммы направляется отчет установленной формы.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«Обеспечение безопасности проживания и охрана окружающей среды» в соответствии с </w:t>
      </w:r>
      <w:hyperlink r:id="rId8" w:history="1">
        <w:r w:rsidRPr="00235C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35C4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Дополнительно заказчики подпрограммы направляют заказчику-координатору подпрограммы: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информацию о реализации основных мероприятий по формам, установленным заказчиком-координатором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ежегодные доклады о ходе реализации основных мероприятий подпрограммы и эффективности использования финансовых средств.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Ежегодные доклады должны содержать: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сведения о результатах реализации основных мероприятий подпрограммы за отчетный год;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данные о целевом использовании и объемах средств, привлеченных из бюджета муниципального образования город Мурманск;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реализации подпрограммы утвержденным показателям;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основных мероприятий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сведения о наличии, объемах и состоянии незавершенных мероприятий, включенных в подпрограмму;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подпрограммы.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обеспечивает реализацию основных мероприятий подпрограммы и координирует деятельность исполнителей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информации, организации независимой оценки показателей результативности и эффективности основных мероприятий подпрограммы, их соответствия целевым индикаторам и показателям;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планирует основные мероприятия подпрограммы на очередной финансовый год, готовит предложения по корректировке подпрограммы в установленном порядке;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публикует в средствах массовой информации с одновременным размещением на официальном сайте администрации города Мурманска в сети Интернет основные сведения о результатах реализации подпрограммы, состоянии целевых показателей и индикаторов, объеме финансовых ресурсов, затраченных на выполнение подпрограммы, а также о результатах мониторинга реализации основных мероприятий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выполняет иные функции по управлению основными мероприятиями подпрограммы в соответствии с действующим законодательством и подпрограммой.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Объем, количество мероприятий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основных мероприятий подпрограммы.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Подпрограмма имеет социальную направленность.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При оценке эффекта, достигаемого при выполнении подпрограммы, целесообразно учитывать ее отличительные особенности, отмеченные ниже.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снижение количества наркозависимых, является повышение уровня освещения проблемы наркомании и наркотизации общества, привлечение внимания молодежи и работоспособного населения к вопросам профилактики наркомании и пропаганды здорового образа жизни.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Организация системы целенаправленной профилактической работы в различных сферах жизни и деятельности подростков и молодежи, а также стимулирование общественной активности посредством социального противодействия распространению наркомании является основополагающим направлением в реализации настоящей подпрограммы. 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профилактика распространения незаконного потребления и незаконного оборота наркотических средств;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организация методической помощи специалистам, занимающимся профилактикой наркомании и других зависимостей;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формирование у подростков и молодежи приоритета здорового образа жизни посредством привлечения к активным формам досуга.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Предполагается, что реализация подпрограммы к 2018 году будет способствовать: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получению наиболее достоверной информации о количестве лиц, незаконно потребляющих наркотические средства и психотропные вещества;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- установлению контроля над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наркоэпидемией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в городе Мурманске через снижение спроса на наркотические средства: профилактика первой пробы, создание мотивации на отказ от наркотических средств у тех, кто потребляет их эпизодически, привлечение к лечению систематических потребителей;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повышению уровня безопасности жизни людей в Мурманске за счет сокращения числа преступлений и правонарушений, совершенных наркозависимыми;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созданию условий для повышения обращаемости за наркологической помощью;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приостановлению роста злоупотребления наркотическими средствами и их незаконного оборота, а в перспективе - поэтапное сокращение наркомании и связанной с ней преступности, а также профилактика распространения ВИЧ-инфекции, связанной с употреблением наркотических средств;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созданию условий для участия финансовых ресурсов предприятий и организаций города Мурманска в реализации мер по профилактике наркомании;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созданию в городе Мурманске единой системы противодействия и профилактики злоупотребления наркотических средств различными категориями населения;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формированию у населения негативного отношения к употреблению наркотических средств и стремления к ведению здорового образа жизни;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снижению количества детей и подростков в группе риска;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росту числа подростков, занятых в клубах, секциях по интересам.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отсутствие роста количества лиц, поставленных на учет в ГОБУЗ «МОНД» с диагнозом «наркомания», по отношению к показателю предыдущего года.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Описание и оценка внутренних рисков реализации подпрограммы: изменение срока реализации программных мероприятий.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своевременный мониторинг обстоятельств, способных повлиять на изменение срока реализации программных мероприятий.</w:t>
      </w:r>
    </w:p>
    <w:p w:rsidR="00691D5A" w:rsidRPr="00105B6B" w:rsidRDefault="00691D5A" w:rsidP="00691D5A">
      <w:pPr>
        <w:pStyle w:val="ConsPlusNormal"/>
        <w:jc w:val="both"/>
        <w:rPr>
          <w:rFonts w:ascii="Times New Roman" w:hAnsi="Times New Roman" w:cs="Times New Roman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6F0E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64" w:rsidRDefault="006F0E64" w:rsidP="006F0E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2CB7" w:rsidSect="00FB0C5A">
      <w:type w:val="continuous"/>
      <w:pgSz w:w="11906" w:h="16838" w:code="9"/>
      <w:pgMar w:top="1134" w:right="851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4C24D7" w:rsidP="00635B33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C29A1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23792"/>
    <w:rsid w:val="004516B1"/>
    <w:rsid w:val="00482625"/>
    <w:rsid w:val="004A1543"/>
    <w:rsid w:val="004A4033"/>
    <w:rsid w:val="004C24D7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1C69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95F56"/>
    <w:rsid w:val="00FA44CD"/>
    <w:rsid w:val="00FB0C5A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3A2A58A580AC4A1ED208356976749A5C217B42D77EC4479F48520F9BFC144AC6432DL1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63FB-1EC1-4A14-BEE9-737AD5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2016-12-27T13:59:00Z</dcterms:created>
  <dcterms:modified xsi:type="dcterms:W3CDTF">2016-12-27T13:59:00Z</dcterms:modified>
</cp:coreProperties>
</file>