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10" w:rsidRPr="00A367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II. Подпрограмма «Расширение городского кладбища на 7 - 8 км</w:t>
      </w:r>
    </w:p>
    <w:p w:rsidR="000D3810" w:rsidRPr="00A367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автодороги Кола - Мурмаши» на 2014 - 201</w:t>
      </w:r>
      <w:r w:rsidR="00084699">
        <w:rPr>
          <w:rFonts w:ascii="Times New Roman" w:hAnsi="Times New Roman" w:cs="Times New Roman"/>
          <w:sz w:val="28"/>
          <w:szCs w:val="28"/>
        </w:rPr>
        <w:t>9</w:t>
      </w:r>
      <w:r w:rsidRPr="00A367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D3810" w:rsidRPr="00A36742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A367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860"/>
      </w:tblGrid>
      <w:tr w:rsidR="000D3810" w:rsidRPr="00105B6B" w:rsidTr="00105B6B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60" w:type="dxa"/>
          </w:tcPr>
          <w:p w:rsidR="000D3810" w:rsidRPr="00105B6B" w:rsidRDefault="000D3810" w:rsidP="00084699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Муниципальная программа города Мурманска «Обеспечение безопасности проживания и охрана окружающей среды» на 2014 - 201</w:t>
            </w:r>
            <w:r w:rsidR="00084699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:rsidTr="00105B6B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0D3810" w:rsidRPr="00105B6B" w:rsidTr="00105B6B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Задачи подпрограммы (при наличии)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</w:tr>
      <w:tr w:rsidR="000D3810" w:rsidRPr="00105B6B" w:rsidTr="00105B6B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Темп роста площади городского кладбища к уровню базового года</w:t>
            </w:r>
          </w:p>
        </w:tc>
      </w:tr>
      <w:tr w:rsidR="000D3810" w:rsidRPr="00105B6B" w:rsidTr="00105B6B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Заказчики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развитию городского хозяйства администрации города Мурманска</w:t>
            </w:r>
          </w:p>
        </w:tc>
      </w:tr>
      <w:tr w:rsidR="000D3810" w:rsidRPr="00105B6B" w:rsidTr="00105B6B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 - координатор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развитию городского хозяйства администрации города Мурманска</w:t>
            </w:r>
          </w:p>
        </w:tc>
      </w:tr>
      <w:tr w:rsidR="000D3810" w:rsidRPr="00105B6B" w:rsidTr="00105B6B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860" w:type="dxa"/>
          </w:tcPr>
          <w:p w:rsidR="000D3810" w:rsidRPr="00105B6B" w:rsidRDefault="000D3810" w:rsidP="00084699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</w:t>
            </w:r>
            <w:r w:rsidR="00084699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:rsidTr="00BE3D78">
        <w:trPr>
          <w:jc w:val="center"/>
        </w:trPr>
        <w:tc>
          <w:tcPr>
            <w:tcW w:w="2721" w:type="dxa"/>
            <w:tcBorders>
              <w:bottom w:val="single" w:sz="4" w:space="0" w:color="auto"/>
            </w:tcBorders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0673CD" w:rsidRPr="000673CD" w:rsidRDefault="000673CD" w:rsidP="000673CD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 xml:space="preserve">Всего по подпрограмме: </w:t>
            </w:r>
            <w:r w:rsidR="00412DFA">
              <w:rPr>
                <w:rFonts w:ascii="Times New Roman" w:hAnsi="Times New Roman" w:cs="Times New Roman"/>
              </w:rPr>
              <w:t>233 663,8</w:t>
            </w:r>
            <w:r w:rsidRPr="000673CD">
              <w:rPr>
                <w:rFonts w:ascii="Times New Roman" w:hAnsi="Times New Roman" w:cs="Times New Roman"/>
              </w:rPr>
              <w:t xml:space="preserve"> тыс. руб., в т.ч.:</w:t>
            </w:r>
          </w:p>
          <w:p w:rsidR="000673CD" w:rsidRPr="000673CD" w:rsidRDefault="000673CD" w:rsidP="000673CD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 xml:space="preserve">МБ: </w:t>
            </w:r>
            <w:r w:rsidR="00412DFA">
              <w:rPr>
                <w:rFonts w:ascii="Times New Roman" w:hAnsi="Times New Roman" w:cs="Times New Roman"/>
              </w:rPr>
              <w:t>233 663,8</w:t>
            </w:r>
            <w:r w:rsidRPr="000673CD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0673CD" w:rsidRPr="000673CD" w:rsidRDefault="000673CD" w:rsidP="000673CD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>2014 год – 32 500,0 тыс. руб.;</w:t>
            </w:r>
          </w:p>
          <w:p w:rsidR="000673CD" w:rsidRPr="000673CD" w:rsidRDefault="000673CD" w:rsidP="000673CD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 xml:space="preserve">2015 год – 31 884,9 тыс. руб.; </w:t>
            </w:r>
          </w:p>
          <w:p w:rsidR="000673CD" w:rsidRPr="000673CD" w:rsidRDefault="000673CD" w:rsidP="000673CD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>2016 год – 15 335,9 тыс. руб.;</w:t>
            </w:r>
          </w:p>
          <w:p w:rsidR="000673CD" w:rsidRPr="000673CD" w:rsidRDefault="000673CD" w:rsidP="000673CD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 xml:space="preserve">2017 год – </w:t>
            </w:r>
            <w:r w:rsidR="00260585">
              <w:rPr>
                <w:rFonts w:ascii="Times New Roman" w:hAnsi="Times New Roman" w:cs="Times New Roman"/>
              </w:rPr>
              <w:t>93943,0</w:t>
            </w:r>
            <w:r w:rsidRPr="000673CD">
              <w:rPr>
                <w:rFonts w:ascii="Times New Roman" w:hAnsi="Times New Roman" w:cs="Times New Roman"/>
              </w:rPr>
              <w:t xml:space="preserve"> тыс. руб.;</w:t>
            </w:r>
          </w:p>
          <w:p w:rsidR="000673CD" w:rsidRDefault="000673CD" w:rsidP="000673CD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>2018 год – 30 000,0 тыс. руб.</w:t>
            </w:r>
            <w:r w:rsidR="00084699">
              <w:rPr>
                <w:rFonts w:ascii="Times New Roman" w:hAnsi="Times New Roman" w:cs="Times New Roman"/>
              </w:rPr>
              <w:t>;</w:t>
            </w:r>
          </w:p>
          <w:p w:rsidR="00084699" w:rsidRPr="00105B6B" w:rsidRDefault="00084699" w:rsidP="000673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30 000,0 тыс. руб.</w:t>
            </w:r>
          </w:p>
        </w:tc>
      </w:tr>
      <w:tr w:rsidR="000D3810" w:rsidRPr="00105B6B" w:rsidTr="00BE3D78">
        <w:tblPrEx>
          <w:tblBorders>
            <w:insideH w:val="nil"/>
          </w:tblBorders>
        </w:tblPrEx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- увеличение площади территории кладбища на </w:t>
            </w:r>
            <w:r w:rsidR="00374117">
              <w:rPr>
                <w:rFonts w:ascii="Times New Roman" w:hAnsi="Times New Roman" w:cs="Times New Roman"/>
              </w:rPr>
              <w:t>31,7</w:t>
            </w:r>
            <w:r w:rsidRPr="00105B6B">
              <w:rPr>
                <w:rFonts w:ascii="Times New Roman" w:hAnsi="Times New Roman" w:cs="Times New Roman"/>
              </w:rPr>
              <w:t xml:space="preserve"> га, в т.ч. 8,0 га под захоронения;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- количество свободных мест под захоронения составит </w:t>
            </w:r>
            <w:r w:rsidR="00374117">
              <w:rPr>
                <w:rFonts w:ascii="Times New Roman" w:hAnsi="Times New Roman" w:cs="Times New Roman"/>
              </w:rPr>
              <w:t>33867</w:t>
            </w:r>
            <w:r w:rsidRPr="00105B6B">
              <w:rPr>
                <w:rFonts w:ascii="Times New Roman" w:hAnsi="Times New Roman" w:cs="Times New Roman"/>
              </w:rPr>
              <w:t xml:space="preserve"> могил;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возможность осуществлять захоронения в течение 5 лет</w:t>
            </w:r>
          </w:p>
        </w:tc>
      </w:tr>
    </w:tbl>
    <w:p w:rsidR="000D3810" w:rsidRPr="00105B6B" w:rsidRDefault="000D3810">
      <w:pPr>
        <w:rPr>
          <w:rFonts w:ascii="Times New Roman" w:hAnsi="Times New Roman" w:cs="Times New Roman"/>
        </w:rPr>
        <w:sectPr w:rsidR="000D3810" w:rsidRPr="00105B6B" w:rsidSect="00A36742">
          <w:headerReference w:type="default" r:id="rId7"/>
          <w:pgSz w:w="11906" w:h="16838" w:code="9"/>
          <w:pgMar w:top="1276" w:right="851" w:bottom="851" w:left="1418" w:header="0" w:footer="0" w:gutter="0"/>
          <w:cols w:space="720"/>
          <w:docGrid w:linePitch="299"/>
        </w:sect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Городское кладбище на 7 - 8 км автодороги Кола - Мурмаши является единственным действующим муниципальным кладбищем под захоронения для города Мурманска, города Колы, жилого района Дровяное и частично жилого района Абрам-Мыс.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Мурманска от 06.11.2009 </w:t>
      </w:r>
      <w:r w:rsidR="00BE3D78">
        <w:rPr>
          <w:rFonts w:ascii="Times New Roman" w:hAnsi="Times New Roman" w:cs="Times New Roman"/>
          <w:sz w:val="28"/>
          <w:szCs w:val="28"/>
        </w:rPr>
        <w:t>№</w:t>
      </w:r>
      <w:r w:rsidRPr="00105B6B">
        <w:rPr>
          <w:rFonts w:ascii="Times New Roman" w:hAnsi="Times New Roman" w:cs="Times New Roman"/>
          <w:sz w:val="28"/>
          <w:szCs w:val="28"/>
        </w:rPr>
        <w:t xml:space="preserve"> 10-118 утвержден </w:t>
      </w:r>
      <w:hyperlink r:id="rId8" w:history="1">
        <w:r w:rsidRPr="00105B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организации работы муниципальных кладбищ, </w:t>
      </w:r>
      <w:hyperlink r:id="rId9" w:history="1">
        <w:r w:rsidRPr="00105B6B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которого предусмотрено,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кладбищах, а в соответствии с </w:t>
      </w:r>
      <w:hyperlink r:id="rId10" w:history="1">
        <w:r w:rsidRPr="00105B6B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финансирование работ по расширению и строительству муниципальных кладбищ осуществляется из средств бюджета.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B37">
        <w:rPr>
          <w:rFonts w:ascii="Times New Roman" w:hAnsi="Times New Roman" w:cs="Times New Roman"/>
          <w:sz w:val="28"/>
          <w:szCs w:val="28"/>
        </w:rPr>
        <w:t>Динамика смертности за последние годы: 2010 год - 3735 человек, 2011 год - 3560 человек, 2012 год - 3536 чел</w:t>
      </w:r>
      <w:r w:rsidR="005A0B37" w:rsidRPr="005A0B37">
        <w:rPr>
          <w:rFonts w:ascii="Times New Roman" w:hAnsi="Times New Roman" w:cs="Times New Roman"/>
          <w:sz w:val="28"/>
          <w:szCs w:val="28"/>
        </w:rPr>
        <w:t>овек, 2013 год - 3462 человека, 2014 год – 3484 человек, 2015 год – 3508 человек.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В соответствии с результатами мониторинга количества захоронений потребность в площади расширения кладбища ежегодно составляет не менее 4,0 га, так как потребность в местах захоронения в среднем составляет по 4110 могилы в год, из расчета средней площади одной могилы 9,3 м2, с учетом площади участков между могилами и площади дорожной сети (проезды и дорожки).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Учитывая вышеизложенное, необходимость в постоянном расширении кладбища очевидна, и такого рода проблема может возникать постоянно в связи с неудовлетворением потребности в местах под захоронения, что недопустимо и требует системного программного решения.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Для своевременной подготовки новых мест под захоронения необходимо обеспечивать своевременное финансирование кладбища и выполнение комплекса работ по проекту, что позволит решить реализация данной подпрограммы путем масштабной целенаправленной работы по расширению территории городского кладбища. 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Основной целью подпрограммы является расширение городского кладбища и обеспечение стабильности санитарно-эпидемиологических условий проживания населения.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Решение поставленной цели целесообразно выполнять посредством применения программно-целевого метода. Основные преимущества: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комплексный подход к решению проблемы;</w:t>
      </w:r>
    </w:p>
    <w:p w:rsidR="000D3810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 подпрограммы.</w:t>
      </w:r>
    </w:p>
    <w:p w:rsidR="00AF4BC6" w:rsidRPr="00105B6B" w:rsidRDefault="00AF4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rPr>
          <w:rFonts w:ascii="Times New Roman" w:hAnsi="Times New Roman" w:cs="Times New Roman"/>
          <w:sz w:val="28"/>
          <w:szCs w:val="28"/>
        </w:rPr>
        <w:sectPr w:rsidR="000D3810" w:rsidRPr="00105B6B" w:rsidSect="00A36742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:rsidR="000D3810" w:rsidRPr="00105B6B" w:rsidRDefault="000D3810" w:rsidP="00A36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(индикаторы) реализации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3542"/>
        <w:gridCol w:w="567"/>
        <w:gridCol w:w="1563"/>
        <w:gridCol w:w="1375"/>
        <w:gridCol w:w="1322"/>
        <w:gridCol w:w="1158"/>
        <w:gridCol w:w="993"/>
        <w:gridCol w:w="1240"/>
        <w:gridCol w:w="1158"/>
        <w:gridCol w:w="1287"/>
      </w:tblGrid>
      <w:tr w:rsidR="00084699" w:rsidRPr="00105B6B" w:rsidTr="00AF4BC6">
        <w:tc>
          <w:tcPr>
            <w:tcW w:w="166" w:type="pct"/>
            <w:vMerge w:val="restart"/>
            <w:vAlign w:val="center"/>
          </w:tcPr>
          <w:p w:rsidR="00084699" w:rsidRPr="00105B6B" w:rsidRDefault="00084699" w:rsidP="00077A4D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05" w:type="pct"/>
            <w:vMerge w:val="restar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 и показатели (индикаторы)</w:t>
            </w:r>
          </w:p>
        </w:tc>
        <w:tc>
          <w:tcPr>
            <w:tcW w:w="193" w:type="pct"/>
            <w:vMerge w:val="restar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435" w:type="pct"/>
            <w:gridSpan w:val="8"/>
            <w:vAlign w:val="center"/>
          </w:tcPr>
          <w:p w:rsidR="00084699" w:rsidRPr="00105B6B" w:rsidRDefault="00084699" w:rsidP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Значение показателя (индикаторы)</w:t>
            </w:r>
          </w:p>
        </w:tc>
      </w:tr>
      <w:tr w:rsidR="00084699" w:rsidRPr="00105B6B" w:rsidTr="00AF4BC6">
        <w:trPr>
          <w:trHeight w:val="79"/>
        </w:trPr>
        <w:tc>
          <w:tcPr>
            <w:tcW w:w="166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Отчетный год 2012</w:t>
            </w:r>
          </w:p>
        </w:tc>
        <w:tc>
          <w:tcPr>
            <w:tcW w:w="468" w:type="pct"/>
            <w:vMerge w:val="restar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Текущий год 2013</w:t>
            </w:r>
          </w:p>
        </w:tc>
        <w:tc>
          <w:tcPr>
            <w:tcW w:w="2436" w:type="pct"/>
            <w:gridSpan w:val="6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AF4BC6" w:rsidRPr="00105B6B" w:rsidTr="00AF4BC6">
        <w:trPr>
          <w:trHeight w:val="185"/>
        </w:trPr>
        <w:tc>
          <w:tcPr>
            <w:tcW w:w="166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94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38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22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94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38" w:type="pct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AF4BC6" w:rsidRPr="00105B6B" w:rsidTr="00AF4BC6">
        <w:tc>
          <w:tcPr>
            <w:tcW w:w="166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" w:type="pct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84699" w:rsidRPr="00105B6B" w:rsidTr="00AF4BC6">
        <w:tc>
          <w:tcPr>
            <w:tcW w:w="5000" w:type="pct"/>
            <w:gridSpan w:val="11"/>
          </w:tcPr>
          <w:p w:rsidR="00084699" w:rsidRPr="00105B6B" w:rsidRDefault="00084699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084699" w:rsidRPr="00105B6B" w:rsidTr="00AF4BC6">
        <w:trPr>
          <w:trHeight w:val="347"/>
        </w:trPr>
        <w:tc>
          <w:tcPr>
            <w:tcW w:w="166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pct"/>
            <w:vAlign w:val="center"/>
          </w:tcPr>
          <w:p w:rsidR="00084699" w:rsidRPr="00105B6B" w:rsidRDefault="00084699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Темп роста площади городского кладбища к уровню базового года</w:t>
            </w:r>
          </w:p>
        </w:tc>
        <w:tc>
          <w:tcPr>
            <w:tcW w:w="193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2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50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94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338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22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394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38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C90F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3810" w:rsidRPr="00105B6B">
        <w:rPr>
          <w:rFonts w:ascii="Times New Roman" w:hAnsi="Times New Roman" w:cs="Times New Roman"/>
          <w:sz w:val="28"/>
          <w:szCs w:val="28"/>
        </w:rPr>
        <w:t>. Перечень основных мероприятий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 2014 - 2015 годы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"/>
        <w:gridCol w:w="2021"/>
        <w:gridCol w:w="1675"/>
        <w:gridCol w:w="1691"/>
        <w:gridCol w:w="1108"/>
        <w:gridCol w:w="1108"/>
        <w:gridCol w:w="1108"/>
        <w:gridCol w:w="2075"/>
        <w:gridCol w:w="820"/>
        <w:gridCol w:w="823"/>
        <w:gridCol w:w="1787"/>
      </w:tblGrid>
      <w:tr w:rsidR="00AF4BC6" w:rsidRPr="00105B6B" w:rsidTr="00CE60CB">
        <w:trPr>
          <w:cantSplit/>
          <w:trHeight w:val="389"/>
          <w:tblHeader/>
        </w:trPr>
        <w:tc>
          <w:tcPr>
            <w:tcW w:w="163" w:type="pct"/>
            <w:vMerge w:val="restart"/>
            <w:vAlign w:val="center"/>
          </w:tcPr>
          <w:p w:rsidR="00AF4BC6" w:rsidRPr="00105B6B" w:rsidRDefault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8" w:type="pct"/>
            <w:vMerge w:val="restart"/>
            <w:vAlign w:val="center"/>
          </w:tcPr>
          <w:p w:rsidR="00AF4BC6" w:rsidRPr="00105B6B" w:rsidRDefault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570" w:type="pct"/>
            <w:vMerge w:val="restart"/>
            <w:vAlign w:val="center"/>
          </w:tcPr>
          <w:p w:rsidR="00AF4BC6" w:rsidRPr="00105B6B" w:rsidRDefault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575" w:type="pct"/>
            <w:vMerge w:val="restart"/>
            <w:vAlign w:val="center"/>
          </w:tcPr>
          <w:p w:rsidR="00AF4BC6" w:rsidRPr="00105B6B" w:rsidRDefault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1" w:type="pct"/>
            <w:gridSpan w:val="3"/>
            <w:vAlign w:val="center"/>
          </w:tcPr>
          <w:p w:rsidR="00AF4BC6" w:rsidRPr="00105B6B" w:rsidRDefault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и источники финансирования (тыс. руб.)</w:t>
            </w:r>
          </w:p>
        </w:tc>
        <w:tc>
          <w:tcPr>
            <w:tcW w:w="1265" w:type="pct"/>
            <w:gridSpan w:val="3"/>
            <w:vAlign w:val="center"/>
          </w:tcPr>
          <w:p w:rsidR="00AF4BC6" w:rsidRPr="00105B6B" w:rsidRDefault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08" w:type="pct"/>
            <w:vMerge w:val="restart"/>
            <w:vAlign w:val="center"/>
          </w:tcPr>
          <w:p w:rsidR="00AF4BC6" w:rsidRPr="00105B6B" w:rsidRDefault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0D3810" w:rsidRPr="00105B6B" w:rsidTr="00CE60CB">
        <w:trPr>
          <w:cantSplit/>
          <w:trHeight w:val="545"/>
          <w:tblHeader/>
        </w:trPr>
        <w:tc>
          <w:tcPr>
            <w:tcW w:w="163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6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Наименование, ед. измерения</w:t>
            </w:r>
          </w:p>
        </w:tc>
        <w:tc>
          <w:tcPr>
            <w:tcW w:w="279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80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608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CE60CB">
        <w:trPr>
          <w:cantSplit/>
          <w:tblHeader/>
        </w:trPr>
        <w:tc>
          <w:tcPr>
            <w:tcW w:w="163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</w:t>
            </w:r>
          </w:p>
        </w:tc>
      </w:tr>
      <w:tr w:rsidR="000D3810" w:rsidRPr="00105B6B" w:rsidTr="00CE60CB">
        <w:trPr>
          <w:cantSplit/>
        </w:trPr>
        <w:tc>
          <w:tcPr>
            <w:tcW w:w="5000" w:type="pct"/>
            <w:gridSpan w:val="11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0D3810" w:rsidRPr="00105B6B" w:rsidTr="00CE60CB">
        <w:trPr>
          <w:cantSplit/>
        </w:trPr>
        <w:tc>
          <w:tcPr>
            <w:tcW w:w="163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Расширение городского кладбища на 7 - 8 км автодороги Кола - Мурмаши</w:t>
            </w:r>
          </w:p>
        </w:tc>
        <w:tc>
          <w:tcPr>
            <w:tcW w:w="570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2 - 4 кв. 2014 - 2015 гг.</w:t>
            </w:r>
          </w:p>
        </w:tc>
        <w:tc>
          <w:tcPr>
            <w:tcW w:w="575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377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64384,9</w:t>
            </w:r>
          </w:p>
        </w:tc>
        <w:tc>
          <w:tcPr>
            <w:tcW w:w="377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32500,0</w:t>
            </w:r>
          </w:p>
        </w:tc>
        <w:tc>
          <w:tcPr>
            <w:tcW w:w="377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31884,9</w:t>
            </w:r>
          </w:p>
        </w:tc>
        <w:tc>
          <w:tcPr>
            <w:tcW w:w="706" w:type="pc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Площадь расширяемой территории кладбища, га</w:t>
            </w:r>
          </w:p>
        </w:tc>
        <w:tc>
          <w:tcPr>
            <w:tcW w:w="279" w:type="pc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80" w:type="pc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08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Конкурсный отбор</w:t>
            </w:r>
          </w:p>
        </w:tc>
      </w:tr>
      <w:tr w:rsidR="000D3810" w:rsidRPr="00105B6B" w:rsidTr="00CE60CB">
        <w:trPr>
          <w:cantSplit/>
        </w:trPr>
        <w:tc>
          <w:tcPr>
            <w:tcW w:w="163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могил, шт.</w:t>
            </w:r>
          </w:p>
        </w:tc>
        <w:tc>
          <w:tcPr>
            <w:tcW w:w="279" w:type="pc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2072</w:t>
            </w:r>
          </w:p>
        </w:tc>
        <w:tc>
          <w:tcPr>
            <w:tcW w:w="280" w:type="pc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2302</w:t>
            </w:r>
          </w:p>
        </w:tc>
        <w:tc>
          <w:tcPr>
            <w:tcW w:w="608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CE60CB">
        <w:trPr>
          <w:cantSplit/>
        </w:trPr>
        <w:tc>
          <w:tcPr>
            <w:tcW w:w="850" w:type="pct"/>
            <w:gridSpan w:val="2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0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575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64384,9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32500,0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31884,9</w:t>
            </w:r>
          </w:p>
        </w:tc>
        <w:tc>
          <w:tcPr>
            <w:tcW w:w="1873" w:type="pct"/>
            <w:gridSpan w:val="4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0673CD" w:rsidRPr="000673CD" w:rsidRDefault="000673CD" w:rsidP="0006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C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2016 – 201</w:t>
      </w:r>
      <w:r w:rsidR="00BD59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0673CD" w:rsidRPr="000673CD" w:rsidRDefault="000673CD" w:rsidP="000673C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Cs w:val="28"/>
        </w:rPr>
      </w:pPr>
    </w:p>
    <w:tbl>
      <w:tblPr>
        <w:tblW w:w="507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2"/>
        <w:gridCol w:w="1460"/>
        <w:gridCol w:w="1214"/>
        <w:gridCol w:w="1589"/>
        <w:gridCol w:w="929"/>
        <w:gridCol w:w="958"/>
        <w:gridCol w:w="937"/>
        <w:gridCol w:w="940"/>
        <w:gridCol w:w="973"/>
        <w:gridCol w:w="1469"/>
        <w:gridCol w:w="598"/>
        <w:gridCol w:w="598"/>
        <w:gridCol w:w="604"/>
        <w:gridCol w:w="905"/>
        <w:gridCol w:w="1344"/>
      </w:tblGrid>
      <w:tr w:rsidR="00084699" w:rsidRPr="000673CD" w:rsidTr="00CE60CB">
        <w:trPr>
          <w:cantSplit/>
          <w:trHeight w:val="20"/>
          <w:tblHeader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Срок выполнения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558" w:type="pct"/>
            <w:gridSpan w:val="5"/>
            <w:shd w:val="clear" w:color="auto" w:fill="auto"/>
            <w:vAlign w:val="center"/>
            <w:hideMark/>
          </w:tcPr>
          <w:p w:rsidR="00084699" w:rsidRPr="000673CD" w:rsidRDefault="00084699" w:rsidP="0008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399" w:type="pct"/>
            <w:gridSpan w:val="5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084699" w:rsidRPr="000673CD" w:rsidTr="00CE60CB">
        <w:trPr>
          <w:cantSplit/>
          <w:trHeight w:val="20"/>
          <w:tblHeader/>
        </w:trPr>
        <w:tc>
          <w:tcPr>
            <w:tcW w:w="169" w:type="pct"/>
            <w:vMerge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2016 год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2017 год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326" w:type="pct"/>
            <w:vAlign w:val="center"/>
          </w:tcPr>
          <w:p w:rsidR="00084699" w:rsidRPr="000673CD" w:rsidRDefault="00084699" w:rsidP="0008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Наименование,         ед. измерения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2016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2017 год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303" w:type="pct"/>
            <w:vAlign w:val="center"/>
          </w:tcPr>
          <w:p w:rsidR="00084699" w:rsidRPr="000673CD" w:rsidRDefault="00084699" w:rsidP="0008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449" w:type="pct"/>
            <w:vMerge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84699" w:rsidRPr="000673CD" w:rsidTr="00CE60CB">
        <w:trPr>
          <w:cantSplit/>
          <w:trHeight w:val="20"/>
          <w:tblHeader/>
        </w:trPr>
        <w:tc>
          <w:tcPr>
            <w:tcW w:w="169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26" w:type="pct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8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8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084699" w:rsidRPr="000673CD" w:rsidRDefault="00084699" w:rsidP="0008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03" w:type="pct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84699" w:rsidRPr="000673CD" w:rsidRDefault="00084699" w:rsidP="0008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084699" w:rsidRPr="000673CD" w:rsidTr="00CE60CB">
        <w:trPr>
          <w:cantSplit/>
          <w:trHeight w:val="20"/>
        </w:trPr>
        <w:tc>
          <w:tcPr>
            <w:tcW w:w="5000" w:type="pct"/>
            <w:gridSpan w:val="15"/>
          </w:tcPr>
          <w:p w:rsidR="00084699" w:rsidRPr="000673CD" w:rsidRDefault="00084699" w:rsidP="0008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084699" w:rsidRPr="000673CD" w:rsidTr="00CE60CB">
        <w:trPr>
          <w:cantSplit/>
          <w:trHeight w:val="1748"/>
        </w:trPr>
        <w:tc>
          <w:tcPr>
            <w:tcW w:w="169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мероприятие: комплекс мероприятий по увеличению площади захоронений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84699" w:rsidRPr="000673CD" w:rsidRDefault="00084699" w:rsidP="0041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2016-201</w:t>
            </w:r>
            <w:r w:rsidR="00412D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в т.ч.: МБ: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84699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169278,9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15335,9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84699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93943,0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30000,0</w:t>
            </w:r>
          </w:p>
        </w:tc>
        <w:tc>
          <w:tcPr>
            <w:tcW w:w="326" w:type="pct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30000,0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Исполнение мероприятий, %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03" w:type="pct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Конкурсный отбор</w:t>
            </w:r>
          </w:p>
        </w:tc>
      </w:tr>
      <w:tr w:rsidR="00084699" w:rsidRPr="000673CD" w:rsidTr="00CE60CB">
        <w:trPr>
          <w:cantSplit/>
          <w:trHeight w:val="1035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41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2016-201</w:t>
            </w:r>
            <w:r w:rsidR="00412D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  <w:hideMark/>
          </w:tcPr>
          <w:p w:rsidR="00084699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169278,9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15335,9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084699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93943,0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30000,0</w:t>
            </w:r>
          </w:p>
        </w:tc>
        <w:tc>
          <w:tcPr>
            <w:tcW w:w="326" w:type="pct"/>
            <w:vMerge w:val="restart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30000,0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2,95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303" w:type="pct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Конкурсный отбор</w:t>
            </w:r>
          </w:p>
        </w:tc>
      </w:tr>
      <w:tr w:rsidR="00084699" w:rsidRPr="000673CD" w:rsidTr="00CE60CB">
        <w:trPr>
          <w:cantSplit/>
          <w:trHeight w:val="216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Количество могил, шт.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3034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303" w:type="pct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84699" w:rsidRPr="000673CD" w:rsidTr="00CE60CB">
        <w:trPr>
          <w:cantSplit/>
          <w:trHeight w:val="216"/>
        </w:trPr>
        <w:tc>
          <w:tcPr>
            <w:tcW w:w="169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Количество разработанной проектной документации, ед.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03" w:type="pct"/>
            <w:vAlign w:val="center"/>
          </w:tcPr>
          <w:p w:rsidR="00084699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9960E7" w:rsidRPr="000673CD" w:rsidTr="00CE60CB">
        <w:trPr>
          <w:cantSplit/>
          <w:trHeight w:val="1242"/>
        </w:trPr>
        <w:tc>
          <w:tcPr>
            <w:tcW w:w="169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</w:t>
            </w:r>
            <w:proofErr w:type="spellStart"/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предпроектной</w:t>
            </w:r>
            <w:proofErr w:type="spellEnd"/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9960E7" w:rsidRPr="000673CD" w:rsidRDefault="009960E7" w:rsidP="0041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2016-201</w:t>
            </w:r>
            <w:r w:rsidR="00412D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1558" w:type="pct"/>
            <w:gridSpan w:val="5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Финансирование не требуется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Количество мероприятий, ед.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960E7" w:rsidRPr="000673CD" w:rsidRDefault="002C0AB0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084699" w:rsidRPr="000673CD" w:rsidTr="00CE60CB">
        <w:trPr>
          <w:cantSplit/>
          <w:trHeight w:val="20"/>
        </w:trPr>
        <w:tc>
          <w:tcPr>
            <w:tcW w:w="169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84699" w:rsidRPr="000673CD" w:rsidRDefault="00084699" w:rsidP="0041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2016-201</w:t>
            </w:r>
            <w:r w:rsidR="00412D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МБ: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084699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169278,9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15335,9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84699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93943,0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30000,00</w:t>
            </w:r>
          </w:p>
        </w:tc>
        <w:tc>
          <w:tcPr>
            <w:tcW w:w="326" w:type="pct"/>
          </w:tcPr>
          <w:p w:rsidR="00084699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30000,0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3" w:type="pct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9960E7" w:rsidRDefault="009960E7" w:rsidP="00067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9960E7" w:rsidSect="00A32EFD">
          <w:type w:val="continuous"/>
          <w:pgSz w:w="16838" w:h="11906" w:orient="landscape" w:code="9"/>
          <w:pgMar w:top="851" w:right="1134" w:bottom="426" w:left="1134" w:header="0" w:footer="0" w:gutter="0"/>
          <w:cols w:space="720"/>
          <w:docGrid w:linePitch="299"/>
        </w:sectPr>
      </w:pPr>
    </w:p>
    <w:p w:rsidR="000673CD" w:rsidRPr="000673CD" w:rsidRDefault="000673CD" w:rsidP="00067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673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Детализация направлений расходов на 2016 -201</w:t>
      </w:r>
      <w:r w:rsidR="000253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0673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0673CD" w:rsidRPr="000673CD" w:rsidRDefault="000673CD" w:rsidP="00067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441"/>
        <w:gridCol w:w="1700"/>
        <w:gridCol w:w="1001"/>
        <w:gridCol w:w="898"/>
        <w:gridCol w:w="898"/>
        <w:gridCol w:w="898"/>
        <w:gridCol w:w="896"/>
      </w:tblGrid>
      <w:tr w:rsidR="009960E7" w:rsidRPr="000673CD" w:rsidTr="009960E7">
        <w:trPr>
          <w:trHeight w:val="20"/>
          <w:tblHeader/>
          <w:jc w:val="center"/>
        </w:trPr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449" w:type="pct"/>
            <w:gridSpan w:val="5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9960E7" w:rsidRPr="000673CD" w:rsidTr="009960E7">
        <w:trPr>
          <w:trHeight w:val="20"/>
          <w:tblHeader/>
          <w:jc w:val="center"/>
        </w:trPr>
        <w:tc>
          <w:tcPr>
            <w:tcW w:w="341" w:type="pct"/>
            <w:vMerge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pct"/>
            <w:vMerge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79" w:type="pct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9960E7" w:rsidRPr="000673CD" w:rsidTr="009960E7">
        <w:trPr>
          <w:trHeight w:val="20"/>
          <w:tblHeader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pct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60E7" w:rsidRPr="000673CD" w:rsidTr="009960E7">
        <w:trPr>
          <w:trHeight w:val="2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площади захоронений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169278,9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15335,9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93943,0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79" w:type="pct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9960E7" w:rsidRPr="000673CD" w:rsidTr="009960E7">
        <w:trPr>
          <w:trHeight w:val="2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169278,9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15335,9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93943,0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79" w:type="pct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9960E7" w:rsidRPr="000673CD" w:rsidTr="009960E7">
        <w:trPr>
          <w:trHeight w:val="383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увеличению площади городского кладбища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168088,9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14145,9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93943,0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79" w:type="pct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9960E7" w:rsidRPr="000673CD" w:rsidTr="009960E7">
        <w:trPr>
          <w:trHeight w:val="414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разработке проектной документации на расширение городского кладбища (левая сторона) на 7-8 км автодороги Кола-Мурмаши (участок, расположенный между сектором захоронений № 31 и Мемориалом)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60E7" w:rsidRPr="000673CD" w:rsidTr="009960E7">
        <w:trPr>
          <w:trHeight w:val="579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169278,9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15335,9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93943,0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79" w:type="pct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</w:tbl>
    <w:p w:rsidR="009960E7" w:rsidRDefault="00996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 w:rsidP="00AF4BC6">
      <w:pPr>
        <w:tabs>
          <w:tab w:val="left" w:pos="18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Расходы на реализацию подпрограммы за счет средств бюджета муниципального образования город Мурманск составят </w:t>
      </w:r>
      <w:r w:rsidR="00412DFA">
        <w:rPr>
          <w:rFonts w:ascii="Times New Roman" w:hAnsi="Times New Roman" w:cs="Times New Roman"/>
          <w:sz w:val="28"/>
          <w:szCs w:val="28"/>
        </w:rPr>
        <w:t>233 663,8</w:t>
      </w:r>
      <w:r w:rsidRPr="00235C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3810" w:rsidRPr="00235C42" w:rsidRDefault="000D3810" w:rsidP="00996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47"/>
        <w:gridCol w:w="1134"/>
        <w:gridCol w:w="1134"/>
        <w:gridCol w:w="1191"/>
        <w:gridCol w:w="1191"/>
        <w:gridCol w:w="1304"/>
        <w:gridCol w:w="1162"/>
      </w:tblGrid>
      <w:tr w:rsidR="009960E7" w:rsidRPr="00105B6B" w:rsidTr="0002532A">
        <w:tc>
          <w:tcPr>
            <w:tcW w:w="1985" w:type="dxa"/>
            <w:vMerge w:val="restart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7116" w:type="dxa"/>
            <w:gridSpan w:val="6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9960E7" w:rsidRPr="00105B6B" w:rsidTr="009960E7">
        <w:tc>
          <w:tcPr>
            <w:tcW w:w="1985" w:type="dxa"/>
            <w:vMerge/>
          </w:tcPr>
          <w:p w:rsidR="009960E7" w:rsidRPr="00105B6B" w:rsidRDefault="00996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9960E7" w:rsidRPr="00105B6B" w:rsidRDefault="00996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91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91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0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62" w:type="dxa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9960E7" w:rsidRPr="00105B6B" w:rsidTr="009960E7">
        <w:tc>
          <w:tcPr>
            <w:tcW w:w="1985" w:type="dxa"/>
          </w:tcPr>
          <w:p w:rsidR="009960E7" w:rsidRPr="00105B6B" w:rsidRDefault="009960E7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подпрограмме, в т.ч. за счет:</w:t>
            </w:r>
          </w:p>
        </w:tc>
        <w:tc>
          <w:tcPr>
            <w:tcW w:w="1247" w:type="dxa"/>
            <w:vAlign w:val="center"/>
          </w:tcPr>
          <w:p w:rsidR="009960E7" w:rsidRPr="00105B6B" w:rsidRDefault="00260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233663,8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32500,0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31884,9</w:t>
            </w:r>
          </w:p>
        </w:tc>
        <w:tc>
          <w:tcPr>
            <w:tcW w:w="1191" w:type="dxa"/>
            <w:vAlign w:val="center"/>
          </w:tcPr>
          <w:p w:rsidR="009960E7" w:rsidRPr="00105B6B" w:rsidRDefault="00BE3D78" w:rsidP="00222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15335,9</w:t>
            </w:r>
          </w:p>
        </w:tc>
        <w:tc>
          <w:tcPr>
            <w:tcW w:w="1191" w:type="dxa"/>
            <w:vAlign w:val="center"/>
          </w:tcPr>
          <w:p w:rsidR="009960E7" w:rsidRPr="00105B6B" w:rsidRDefault="00260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93943,0</w:t>
            </w:r>
          </w:p>
        </w:tc>
        <w:tc>
          <w:tcPr>
            <w:tcW w:w="130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62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</w:tr>
      <w:tr w:rsidR="009960E7" w:rsidRPr="00105B6B" w:rsidTr="009960E7">
        <w:tc>
          <w:tcPr>
            <w:tcW w:w="1985" w:type="dxa"/>
          </w:tcPr>
          <w:p w:rsidR="009960E7" w:rsidRPr="00105B6B" w:rsidRDefault="009960E7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247" w:type="dxa"/>
            <w:vAlign w:val="center"/>
          </w:tcPr>
          <w:p w:rsidR="009960E7" w:rsidRPr="00105B6B" w:rsidRDefault="00260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233663,8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32500,0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31884,9</w:t>
            </w:r>
          </w:p>
        </w:tc>
        <w:tc>
          <w:tcPr>
            <w:tcW w:w="1191" w:type="dxa"/>
            <w:vAlign w:val="center"/>
          </w:tcPr>
          <w:p w:rsidR="009960E7" w:rsidRPr="00105B6B" w:rsidRDefault="009960E7" w:rsidP="00BE3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AB0">
              <w:rPr>
                <w:rFonts w:ascii="Times New Roman" w:hAnsi="Times New Roman" w:cs="Times New Roman"/>
              </w:rPr>
              <w:t>15</w:t>
            </w:r>
            <w:r w:rsidR="00BE3D78" w:rsidRPr="002C0AB0">
              <w:rPr>
                <w:rFonts w:ascii="Times New Roman" w:hAnsi="Times New Roman" w:cs="Times New Roman"/>
              </w:rPr>
              <w:t>335,9</w:t>
            </w:r>
          </w:p>
        </w:tc>
        <w:tc>
          <w:tcPr>
            <w:tcW w:w="1191" w:type="dxa"/>
            <w:vAlign w:val="center"/>
          </w:tcPr>
          <w:p w:rsidR="009960E7" w:rsidRPr="00105B6B" w:rsidRDefault="00260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93943,0</w:t>
            </w:r>
          </w:p>
        </w:tc>
        <w:tc>
          <w:tcPr>
            <w:tcW w:w="130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62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</w:tr>
      <w:tr w:rsidR="009960E7" w:rsidRPr="00105B6B" w:rsidTr="009960E7">
        <w:tc>
          <w:tcPr>
            <w:tcW w:w="1985" w:type="dxa"/>
          </w:tcPr>
          <w:p w:rsidR="009960E7" w:rsidRPr="00105B6B" w:rsidRDefault="009960E7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47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0E7" w:rsidRPr="00105B6B" w:rsidTr="009960E7">
        <w:trPr>
          <w:trHeight w:val="28"/>
        </w:trPr>
        <w:tc>
          <w:tcPr>
            <w:tcW w:w="1985" w:type="dxa"/>
          </w:tcPr>
          <w:p w:rsidR="009960E7" w:rsidRPr="00105B6B" w:rsidRDefault="009960E7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247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D3810" w:rsidRPr="00105B6B" w:rsidRDefault="000D3810">
      <w:pPr>
        <w:rPr>
          <w:rFonts w:ascii="Times New Roman" w:hAnsi="Times New Roman" w:cs="Times New Roman"/>
        </w:rPr>
        <w:sectPr w:rsidR="000D3810" w:rsidRPr="00105B6B" w:rsidSect="009960E7">
          <w:pgSz w:w="11906" w:h="16838" w:code="9"/>
          <w:pgMar w:top="709" w:right="707" w:bottom="1134" w:left="851" w:header="0" w:footer="0" w:gutter="0"/>
          <w:cols w:space="720"/>
          <w:docGrid w:linePitch="299"/>
        </w:sectPr>
      </w:pPr>
    </w:p>
    <w:p w:rsidR="00A32EFD" w:rsidRDefault="00A32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0D3810" w:rsidRPr="00235C42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В целях обеспечения мониторинга выполнения подпрограммы заказчик в срок до 15 числа месяца, следующего за отчетным кварталом, направляет заказчику-координатору муниципальной программы «Обеспечение безопасности проживания и охрана окружающей среды» квартальные отчеты, за исключением 4 квартала, информация по которому предоставляется в сроки сдачи годовой отчетности в соответствии с </w:t>
      </w:r>
      <w:hyperlink r:id="rId11" w:history="1">
        <w:r w:rsidRPr="00235C4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35C4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К квартальному отчету в обязательном порядке прилагается пояснительная записка, содержащая следующую информацию: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 результатах реализации подпрограммы за отчетный период;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об эффективности использования финансовых средств за отчетный период;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 выполнении программных мероприятий, предусмотренных на данный период реализации подпрограммы;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подпрограммы;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подпрограммы.</w:t>
      </w:r>
    </w:p>
    <w:p w:rsidR="000D3810" w:rsidRPr="00235C42" w:rsidRDefault="000D3810" w:rsidP="00A36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 w:rsidP="00A36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6. Оценка эффективности подпрограммы, рисков ее реализации</w:t>
      </w:r>
    </w:p>
    <w:p w:rsidR="000D3810" w:rsidRPr="00235C42" w:rsidRDefault="000D3810" w:rsidP="00A36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Выполнение подпрограммы позволит решить ключевые задачи, обеспечивающие достижение целей подпрограммы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2" w:history="1">
        <w:r w:rsidRPr="00235C4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35C4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Следует отметить высокую социальную значимость проекта. Действующее городское кладбище на 7 - 8 км автодороги Кола - Мурмаши является единственным действующим кладбищем, используемым под захоронения для города Мурманска, жилого района Дровяное и частично жилого района Абрам-Мыс.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Реализация подпрограммы удовлетворит потребность в новых местах захоронения и обеспечит стабильность санитарно-эпидемиологических условий проживания населения.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подпрограммы: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увеличение площади территории кладбища на 14,5 % к уровню базового года (31,7 га, в т.ч. 8,0 га под захоронения);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количество свободных мест под захоронения составит 33867 могил;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возможность осуществлять захоронения ориентировочно в течение периода продолжительностью 5 лет.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 реализацию программных мероприятий оказывают влияние внешние и внутренние риски.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4252"/>
        <w:gridCol w:w="3628"/>
      </w:tblGrid>
      <w:tr w:rsidR="000D3810" w:rsidRPr="00105B6B" w:rsidTr="00235C42">
        <w:trPr>
          <w:jc w:val="center"/>
        </w:trPr>
        <w:tc>
          <w:tcPr>
            <w:tcW w:w="170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Вид рисков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362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Механизм минимизации рисков</w:t>
            </w:r>
          </w:p>
        </w:tc>
      </w:tr>
      <w:tr w:rsidR="000D3810" w:rsidRPr="00105B6B" w:rsidTr="00235C42">
        <w:trPr>
          <w:jc w:val="center"/>
        </w:trPr>
        <w:tc>
          <w:tcPr>
            <w:tcW w:w="170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</w:tr>
      <w:tr w:rsidR="000D3810" w:rsidRPr="00105B6B" w:rsidTr="00235C42">
        <w:trPr>
          <w:jc w:val="center"/>
        </w:trPr>
        <w:tc>
          <w:tcPr>
            <w:tcW w:w="1708" w:type="dxa"/>
            <w:vMerge w:val="restart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Внешние риски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628" w:type="dxa"/>
          </w:tcPr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0D3810" w:rsidRPr="00105B6B" w:rsidTr="00235C42">
        <w:trPr>
          <w:jc w:val="center"/>
        </w:trPr>
        <w:tc>
          <w:tcPr>
            <w:tcW w:w="1708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Изменение демографической ситуации</w:t>
            </w:r>
          </w:p>
        </w:tc>
        <w:tc>
          <w:tcPr>
            <w:tcW w:w="3628" w:type="dxa"/>
          </w:tcPr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Осуществление контроля и мониторинга динамики смертности в ходе реализации подпрограммы;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</w:t>
            </w:r>
          </w:p>
        </w:tc>
      </w:tr>
      <w:tr w:rsidR="000D3810" w:rsidRPr="00105B6B" w:rsidTr="00235C42">
        <w:trPr>
          <w:jc w:val="center"/>
        </w:trPr>
        <w:tc>
          <w:tcPr>
            <w:tcW w:w="1708" w:type="dxa"/>
            <w:vMerge w:val="restart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Внутренние риски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Риск несостоявшегося открытого аукциона в электронной форме на оказание муниципальных услуг (работ)</w:t>
            </w:r>
          </w:p>
        </w:tc>
        <w:tc>
          <w:tcPr>
            <w:tcW w:w="3628" w:type="dxa"/>
            <w:vAlign w:val="bottom"/>
          </w:tcPr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 муниципальных работ (услуг)</w:t>
            </w:r>
          </w:p>
        </w:tc>
      </w:tr>
      <w:tr w:rsidR="000D3810" w:rsidRPr="00105B6B" w:rsidTr="00235C42">
        <w:trPr>
          <w:jc w:val="center"/>
        </w:trPr>
        <w:tc>
          <w:tcPr>
            <w:tcW w:w="1708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Риск неисполнения условий контракта</w:t>
            </w:r>
          </w:p>
        </w:tc>
        <w:tc>
          <w:tcPr>
            <w:tcW w:w="3628" w:type="dxa"/>
          </w:tcPr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Постоянный контроль за ходом исполнения муниципального контракта. В процессе конкурсного отбора победителем открытого аукциона на оказание муниципальных работ (услуг)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30"/>
      <w:bookmarkStart w:id="1" w:name="P1837"/>
      <w:bookmarkEnd w:id="0"/>
      <w:bookmarkEnd w:id="1"/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222043" w:rsidSect="005B1C69">
      <w:type w:val="continuous"/>
      <w:pgSz w:w="11906" w:h="16838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63" w:rsidRDefault="005A3563" w:rsidP="00915BE6">
      <w:pPr>
        <w:spacing w:after="0" w:line="240" w:lineRule="auto"/>
      </w:pPr>
      <w:r>
        <w:separator/>
      </w:r>
    </w:p>
  </w:endnote>
  <w:end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63" w:rsidRDefault="005A3563" w:rsidP="00915BE6">
      <w:pPr>
        <w:spacing w:after="0" w:line="240" w:lineRule="auto"/>
      </w:pPr>
      <w:r>
        <w:separator/>
      </w:r>
    </w:p>
  </w:footnote>
  <w:foot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Content>
      <w:p w:rsidR="007C717B" w:rsidRPr="00AF4BC6" w:rsidRDefault="007C717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:rsidR="007C717B" w:rsidRPr="00AF4BC6" w:rsidRDefault="004C24D7" w:rsidP="00635B33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:rsidR="007C717B" w:rsidRPr="00AF4BC6" w:rsidRDefault="007C717B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D3810"/>
    <w:rsid w:val="000101F4"/>
    <w:rsid w:val="000120E9"/>
    <w:rsid w:val="00021023"/>
    <w:rsid w:val="0002532A"/>
    <w:rsid w:val="00032BB3"/>
    <w:rsid w:val="00033CA6"/>
    <w:rsid w:val="00061005"/>
    <w:rsid w:val="000673CD"/>
    <w:rsid w:val="00077A4D"/>
    <w:rsid w:val="00084699"/>
    <w:rsid w:val="000918C2"/>
    <w:rsid w:val="000A4714"/>
    <w:rsid w:val="000D32AE"/>
    <w:rsid w:val="000D3810"/>
    <w:rsid w:val="000E5F5B"/>
    <w:rsid w:val="00105B6B"/>
    <w:rsid w:val="00130A19"/>
    <w:rsid w:val="0014782D"/>
    <w:rsid w:val="00172375"/>
    <w:rsid w:val="001A7120"/>
    <w:rsid w:val="001C29A1"/>
    <w:rsid w:val="001D5AEA"/>
    <w:rsid w:val="001D6C7A"/>
    <w:rsid w:val="001F3CE7"/>
    <w:rsid w:val="00207DEB"/>
    <w:rsid w:val="00222043"/>
    <w:rsid w:val="0022693A"/>
    <w:rsid w:val="00235C42"/>
    <w:rsid w:val="00260585"/>
    <w:rsid w:val="002720E1"/>
    <w:rsid w:val="002740FF"/>
    <w:rsid w:val="00290E6E"/>
    <w:rsid w:val="0029467E"/>
    <w:rsid w:val="002B0DE9"/>
    <w:rsid w:val="002C0AB0"/>
    <w:rsid w:val="002D0772"/>
    <w:rsid w:val="002E14A0"/>
    <w:rsid w:val="002E6412"/>
    <w:rsid w:val="00325CF4"/>
    <w:rsid w:val="00332CB7"/>
    <w:rsid w:val="00360766"/>
    <w:rsid w:val="003733B1"/>
    <w:rsid w:val="00374117"/>
    <w:rsid w:val="00396D9E"/>
    <w:rsid w:val="003B5767"/>
    <w:rsid w:val="00412DFA"/>
    <w:rsid w:val="00423792"/>
    <w:rsid w:val="004516B1"/>
    <w:rsid w:val="00482625"/>
    <w:rsid w:val="004A1543"/>
    <w:rsid w:val="004A4033"/>
    <w:rsid w:val="004C24D7"/>
    <w:rsid w:val="005165B0"/>
    <w:rsid w:val="005205A3"/>
    <w:rsid w:val="00526498"/>
    <w:rsid w:val="00526683"/>
    <w:rsid w:val="00553405"/>
    <w:rsid w:val="0056628A"/>
    <w:rsid w:val="005A0B37"/>
    <w:rsid w:val="005A3563"/>
    <w:rsid w:val="005A7EA7"/>
    <w:rsid w:val="005B1C69"/>
    <w:rsid w:val="005B25DF"/>
    <w:rsid w:val="005B2C60"/>
    <w:rsid w:val="005B318A"/>
    <w:rsid w:val="00612EAA"/>
    <w:rsid w:val="00635583"/>
    <w:rsid w:val="00635B33"/>
    <w:rsid w:val="00666157"/>
    <w:rsid w:val="006703BF"/>
    <w:rsid w:val="00671E4C"/>
    <w:rsid w:val="00691D5A"/>
    <w:rsid w:val="006D0F5A"/>
    <w:rsid w:val="006F0E64"/>
    <w:rsid w:val="00741A0A"/>
    <w:rsid w:val="0075670D"/>
    <w:rsid w:val="007822EE"/>
    <w:rsid w:val="00791D24"/>
    <w:rsid w:val="007B0DE9"/>
    <w:rsid w:val="007B2A56"/>
    <w:rsid w:val="007C0F01"/>
    <w:rsid w:val="007C717B"/>
    <w:rsid w:val="007E76A5"/>
    <w:rsid w:val="0080550B"/>
    <w:rsid w:val="00817259"/>
    <w:rsid w:val="00831FFE"/>
    <w:rsid w:val="00874813"/>
    <w:rsid w:val="00880AAF"/>
    <w:rsid w:val="00884A9C"/>
    <w:rsid w:val="008A6942"/>
    <w:rsid w:val="008C56E6"/>
    <w:rsid w:val="008D16F5"/>
    <w:rsid w:val="008D7B65"/>
    <w:rsid w:val="008F36FE"/>
    <w:rsid w:val="00914341"/>
    <w:rsid w:val="00915BE6"/>
    <w:rsid w:val="00940C04"/>
    <w:rsid w:val="00964783"/>
    <w:rsid w:val="009651E7"/>
    <w:rsid w:val="009671E7"/>
    <w:rsid w:val="009960E7"/>
    <w:rsid w:val="009B7C56"/>
    <w:rsid w:val="009E0C69"/>
    <w:rsid w:val="009F42BE"/>
    <w:rsid w:val="00A13653"/>
    <w:rsid w:val="00A17ED5"/>
    <w:rsid w:val="00A32EFD"/>
    <w:rsid w:val="00A36742"/>
    <w:rsid w:val="00A4154E"/>
    <w:rsid w:val="00A736F0"/>
    <w:rsid w:val="00A75754"/>
    <w:rsid w:val="00AA73B9"/>
    <w:rsid w:val="00AC324D"/>
    <w:rsid w:val="00AE1C37"/>
    <w:rsid w:val="00AF2347"/>
    <w:rsid w:val="00AF4AAB"/>
    <w:rsid w:val="00AF4BC6"/>
    <w:rsid w:val="00B0027C"/>
    <w:rsid w:val="00B02B9D"/>
    <w:rsid w:val="00B074D8"/>
    <w:rsid w:val="00B13DC7"/>
    <w:rsid w:val="00B56EDF"/>
    <w:rsid w:val="00B81AB2"/>
    <w:rsid w:val="00B82CBF"/>
    <w:rsid w:val="00B85501"/>
    <w:rsid w:val="00BB4B5B"/>
    <w:rsid w:val="00BD5955"/>
    <w:rsid w:val="00BE01E7"/>
    <w:rsid w:val="00BE3D78"/>
    <w:rsid w:val="00C30B3E"/>
    <w:rsid w:val="00C41321"/>
    <w:rsid w:val="00C45637"/>
    <w:rsid w:val="00C675A6"/>
    <w:rsid w:val="00C90FA4"/>
    <w:rsid w:val="00CA187F"/>
    <w:rsid w:val="00CA5A94"/>
    <w:rsid w:val="00CA7CED"/>
    <w:rsid w:val="00CC5C92"/>
    <w:rsid w:val="00CD7B6D"/>
    <w:rsid w:val="00CE2D07"/>
    <w:rsid w:val="00CE60CB"/>
    <w:rsid w:val="00D019FE"/>
    <w:rsid w:val="00D410B6"/>
    <w:rsid w:val="00D42E47"/>
    <w:rsid w:val="00D44438"/>
    <w:rsid w:val="00D57308"/>
    <w:rsid w:val="00D81138"/>
    <w:rsid w:val="00D83D03"/>
    <w:rsid w:val="00DB1BFE"/>
    <w:rsid w:val="00DB5FC8"/>
    <w:rsid w:val="00DD3CC1"/>
    <w:rsid w:val="00DE5F7A"/>
    <w:rsid w:val="00DE6C7E"/>
    <w:rsid w:val="00E159E9"/>
    <w:rsid w:val="00E22D5A"/>
    <w:rsid w:val="00E325CA"/>
    <w:rsid w:val="00E33F64"/>
    <w:rsid w:val="00E35E5C"/>
    <w:rsid w:val="00E43BA2"/>
    <w:rsid w:val="00E4715D"/>
    <w:rsid w:val="00E51F33"/>
    <w:rsid w:val="00E64982"/>
    <w:rsid w:val="00E708A1"/>
    <w:rsid w:val="00E75A3B"/>
    <w:rsid w:val="00EA6A38"/>
    <w:rsid w:val="00EA7CE0"/>
    <w:rsid w:val="00EB5F08"/>
    <w:rsid w:val="00EC0C66"/>
    <w:rsid w:val="00EC41EB"/>
    <w:rsid w:val="00ED0C1B"/>
    <w:rsid w:val="00ED2A01"/>
    <w:rsid w:val="00ED7DD3"/>
    <w:rsid w:val="00F105E2"/>
    <w:rsid w:val="00F13CE3"/>
    <w:rsid w:val="00F40BD8"/>
    <w:rsid w:val="00F51115"/>
    <w:rsid w:val="00F90AAD"/>
    <w:rsid w:val="00F95F56"/>
    <w:rsid w:val="00FA44CD"/>
    <w:rsid w:val="00FD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0DF232DCD3BC237443A2A58A580AC4A1ED20835697771945C217B42D77EC4479F48520F9BFC144AC4432DL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E90DF232DCD3BC237443A2A58A580AC4A1ED208356976749A5C217B42D77EC4479F48520F9BFC144AC6432DL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0DF232DCD3BC237443A2A58A580AC4A1ED208356976749A5C217B42D77EC4479F48520F9BFC144AC6432DL1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90DF232DCD3BC237443A2A58A580AC4A1ED20835697771945C217B42D77EC4479F48520F9BFC144AC4432DL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0DF232DCD3BC237443A2A58A580AC4A1ED20835697771945C217B42D77EC4479F48520F9BFC144AC4432DL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63FB-1EC1-4A14-BEE9-737AD5A3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berezina</cp:lastModifiedBy>
  <cp:revision>2</cp:revision>
  <cp:lastPrinted>2016-11-14T07:01:00Z</cp:lastPrinted>
  <dcterms:created xsi:type="dcterms:W3CDTF">2016-12-27T13:58:00Z</dcterms:created>
  <dcterms:modified xsi:type="dcterms:W3CDTF">2016-12-27T13:58:00Z</dcterms:modified>
</cp:coreProperties>
</file>