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56" w:rsidRPr="00BD55A2" w:rsidRDefault="00562656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2656" w:rsidRPr="00BD55A2" w:rsidRDefault="00562656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2656" w:rsidRPr="00BD55A2" w:rsidRDefault="00562656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BD55A2" w:rsidRDefault="00CB6771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0C90" w:rsidRPr="00BD55A2">
        <w:rPr>
          <w:rFonts w:ascii="Times New Roman" w:hAnsi="Times New Roman" w:cs="Times New Roman"/>
          <w:b w:val="0"/>
          <w:sz w:val="28"/>
          <w:szCs w:val="28"/>
        </w:rPr>
        <w:t>12.11.2013</w:t>
      </w:r>
      <w:r w:rsidR="00562656" w:rsidRPr="00BD55A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80C90" w:rsidRPr="00BD55A2">
        <w:rPr>
          <w:rFonts w:ascii="Times New Roman" w:hAnsi="Times New Roman" w:cs="Times New Roman"/>
          <w:b w:val="0"/>
          <w:sz w:val="28"/>
          <w:szCs w:val="28"/>
        </w:rPr>
        <w:t>3239</w:t>
      </w:r>
    </w:p>
    <w:p w:rsidR="006037B0" w:rsidRPr="00BD55A2" w:rsidRDefault="006037B0" w:rsidP="00BD55A2">
      <w:pPr>
        <w:pStyle w:val="ConsPlusTitle"/>
        <w:shd w:val="clear" w:color="auto" w:fill="FFFFFF" w:themeFill="background1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BD55A2" w:rsidRDefault="00562656" w:rsidP="00BD55A2">
      <w:pPr>
        <w:pStyle w:val="ConsPlusTitle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BD55A2" w:rsidRDefault="00585AFD" w:rsidP="00BD55A2">
      <w:pPr>
        <w:pStyle w:val="ConsPlusTitle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BD55A2" w:rsidRDefault="001E21A5" w:rsidP="00BD55A2">
      <w:pPr>
        <w:pStyle w:val="ConsPlusTitle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BD55A2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BD55A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BD55A2" w:rsidRDefault="00585AFD" w:rsidP="00BD55A2">
      <w:pPr>
        <w:pStyle w:val="ConsPlusTitle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33C94" w:rsidRPr="00BD55A2">
        <w:rPr>
          <w:rFonts w:ascii="Times New Roman" w:hAnsi="Times New Roman" w:cs="Times New Roman"/>
          <w:b w:val="0"/>
          <w:sz w:val="28"/>
          <w:szCs w:val="28"/>
        </w:rPr>
        <w:t>2014-2019</w:t>
      </w:r>
      <w:r w:rsidRPr="00BD55A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8569A" w:rsidRPr="00BD55A2" w:rsidRDefault="00A8569A" w:rsidP="00BD55A2">
      <w:pPr>
        <w:pStyle w:val="ConsPlusTitle"/>
        <w:shd w:val="clear" w:color="auto" w:fill="FFFFFF" w:themeFill="background1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BD55A2" w:rsidRDefault="00585AFD" w:rsidP="00BD55A2">
      <w:pPr>
        <w:pStyle w:val="ConsPlusTitle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АВЦП – аналитическая ведомственная целевая программа;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  <w:tab w:val="center" w:pos="481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ВБ – внебюджетные средства;</w:t>
      </w:r>
      <w:r w:rsidR="00336E59" w:rsidRPr="00BD55A2">
        <w:rPr>
          <w:rFonts w:ascii="Times New Roman" w:hAnsi="Times New Roman" w:cs="Times New Roman"/>
          <w:bCs/>
          <w:sz w:val="28"/>
          <w:szCs w:val="28"/>
        </w:rPr>
        <w:tab/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ВЦП – ведомственная целевая программа;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КИО – комитет имущественных отношений города Мурманска;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КЭР – комитет по экономическому развитию администрации города Мурманска;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МБ – средства местного бюджета;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ОБ – средства областного бюджета;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- УКС – ММКУ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УКС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ФБ – средства федерального бюджета;</w:t>
      </w:r>
    </w:p>
    <w:p w:rsidR="00AD06B5" w:rsidRPr="00BD55A2" w:rsidRDefault="00AD06B5" w:rsidP="00BD55A2">
      <w:pPr>
        <w:shd w:val="clear" w:color="auto" w:fill="FFFFFF" w:themeFill="background1"/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- ЦКИМИ – ММБУ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ЦКИМИ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="00DD0740" w:rsidRPr="00BD55A2">
        <w:rPr>
          <w:rFonts w:ascii="Times New Roman" w:hAnsi="Times New Roman" w:cs="Times New Roman"/>
          <w:bCs/>
          <w:sz w:val="28"/>
          <w:szCs w:val="28"/>
        </w:rPr>
        <w:t xml:space="preserve"> или ММКУ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="00DD0740" w:rsidRPr="00BD55A2">
        <w:rPr>
          <w:rFonts w:ascii="Times New Roman" w:hAnsi="Times New Roman" w:cs="Times New Roman"/>
          <w:bCs/>
          <w:sz w:val="28"/>
          <w:szCs w:val="28"/>
        </w:rPr>
        <w:t>ЦКИМИ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69A" w:rsidRPr="00BD55A2" w:rsidRDefault="00A8569A" w:rsidP="00BD55A2">
      <w:pPr>
        <w:pStyle w:val="ConsPlusTitle"/>
        <w:shd w:val="clear" w:color="auto" w:fill="FFFFFF" w:themeFill="background1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B259E0" w:rsidRPr="00BD55A2" w:rsidTr="00674330">
        <w:trPr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B259E0" w:rsidRPr="00BD55A2" w:rsidTr="009D171F">
        <w:trPr>
          <w:trHeight w:val="347"/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пустующих муниципальных нежилых помещений и обеспечение населения благоустроенным жильем. 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0442" w:rsidRPr="00BD55A2">
              <w:rPr>
                <w:rFonts w:ascii="Times New Roman" w:hAnsi="Times New Roman" w:cs="Times New Roman"/>
                <w:sz w:val="24"/>
                <w:szCs w:val="24"/>
              </w:rPr>
              <w:t>приобретения и использования имущества в целях решения вопросов местного значения.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Регулирование земельных и имущественных отношений.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</w:tr>
      <w:tr w:rsidR="00B259E0" w:rsidRPr="00BD55A2" w:rsidTr="00432990">
        <w:trPr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граждан, проживающих в аварийных многоквартирных домах.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переселенных из аварийных многоквартирных домов.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Расселенная площадь жилых помещений в аварийных многоквартирных домах,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граждан, переселенных из многоквартирных домов пониженной капитальности, имеющих не все виды благоустройства.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благоустройства.</w:t>
            </w:r>
          </w:p>
          <w:p w:rsidR="00585AFD" w:rsidRPr="00BD55A2" w:rsidRDefault="00615C83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семей, улучшивших свои жил</w:t>
            </w:r>
            <w:r w:rsidR="002E5D52" w:rsidRPr="00BD55A2">
              <w:rPr>
                <w:rFonts w:ascii="Times New Roman" w:hAnsi="Times New Roman" w:cs="Times New Roman"/>
                <w:sz w:val="24"/>
                <w:szCs w:val="24"/>
              </w:rPr>
              <w:t>ищные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в общем кол</w:t>
            </w:r>
            <w:r w:rsidR="002E5D52" w:rsidRPr="00BD55A2">
              <w:rPr>
                <w:rFonts w:ascii="Times New Roman" w:hAnsi="Times New Roman" w:cs="Times New Roman"/>
                <w:sz w:val="24"/>
                <w:szCs w:val="24"/>
              </w:rPr>
              <w:t>ичестве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</w:t>
            </w:r>
            <w:r w:rsidR="002E5D52" w:rsidRPr="00BD55A2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свид</w:t>
            </w:r>
            <w:r w:rsidR="002E5D52" w:rsidRPr="00BD55A2">
              <w:rPr>
                <w:rFonts w:ascii="Times New Roman" w:hAnsi="Times New Roman" w:cs="Times New Roman"/>
                <w:sz w:val="24"/>
                <w:szCs w:val="24"/>
              </w:rPr>
              <w:t>етельство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в текущ</w:t>
            </w:r>
            <w:r w:rsidR="002E5D52" w:rsidRPr="00BD55A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аварийных нежилых помещений, зданий, строений, ремонт (без изменения категории) или снос которых осуществлен.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бесхозяйного имущества, принятых в 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собственность.</w:t>
            </w:r>
          </w:p>
          <w:p w:rsidR="00585AFD" w:rsidRPr="00BD55A2" w:rsidRDefault="00004310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работ, выполненных в целях повышения эффективности использования муниципального имущества и земельных участков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9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акционерных обществ, в отношении которых произведена процедура увеличения уставного капитала.</w:t>
            </w:r>
          </w:p>
          <w:p w:rsidR="00860F91" w:rsidRPr="00BD55A2" w:rsidRDefault="00912BA9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60F91"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жилых помещений, приобретенных с целью п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</w:rPr>
              <w:t>ополнения муниципального специализированного жилищного фонда.</w:t>
            </w:r>
          </w:p>
          <w:p w:rsidR="00860F91" w:rsidRPr="00BD55A2" w:rsidRDefault="00912BA9" w:rsidP="00BD55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муниципальных унитарных предприятий города Мурманска, в отношении которых произведена процедура формирования (увеличения) уставного фонда</w:t>
            </w:r>
            <w:r w:rsidR="002B2500"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F91" w:rsidRPr="00BD55A2" w:rsidRDefault="00912BA9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</w:rPr>
              <w:t>. Количество приобретенных производственных баз для ремонта, обслуживания и хранен</w:t>
            </w:r>
            <w:r w:rsidR="002B2500" w:rsidRPr="00BD55A2">
              <w:rPr>
                <w:rFonts w:ascii="Times New Roman" w:hAnsi="Times New Roman" w:cs="Times New Roman"/>
                <w:sz w:val="24"/>
                <w:szCs w:val="24"/>
              </w:rPr>
              <w:t>ия общественного транспорта.</w:t>
            </w:r>
          </w:p>
          <w:p w:rsidR="00585AFD" w:rsidRPr="00BD55A2" w:rsidRDefault="00912BA9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Доля сформированных земельных участков от общего числа запланированных.</w:t>
            </w:r>
          </w:p>
          <w:p w:rsidR="00585AFD" w:rsidRPr="00BD55A2" w:rsidRDefault="00912BA9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Наличие качественного планово-картографического материала в границах муниципального образования город Мурманск.</w:t>
            </w:r>
          </w:p>
          <w:p w:rsidR="00585AFD" w:rsidRPr="00BD55A2" w:rsidRDefault="00912BA9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субсидий).</w:t>
            </w:r>
          </w:p>
          <w:p w:rsidR="00585AFD" w:rsidRPr="00BD55A2" w:rsidRDefault="00860F91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BA9" w:rsidRPr="00BD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</w:t>
            </w:r>
            <w:r w:rsidR="005D319F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нный </w:t>
            </w:r>
            <w:r w:rsidR="00D63037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оборот земельных участков, 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  <w:p w:rsidR="00585AFD" w:rsidRPr="00BD55A2" w:rsidRDefault="00912BA9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Мурманска.</w:t>
            </w:r>
          </w:p>
          <w:p w:rsidR="00585AFD" w:rsidRPr="00BD55A2" w:rsidRDefault="00912BA9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0F91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  <w:r w:rsidR="003C5DB6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DB6" w:rsidRPr="00BD55A2" w:rsidRDefault="003C5DB6" w:rsidP="00BD55A2">
            <w:pPr>
              <w:pStyle w:val="ConsPlusCell"/>
              <w:shd w:val="clear" w:color="auto" w:fill="FFFFFF" w:themeFill="background1"/>
              <w:tabs>
                <w:tab w:val="left" w:pos="49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28. Количество приобретенных </w:t>
            </w:r>
            <w:r w:rsidR="00B164AD" w:rsidRPr="00BD55A2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</w:tr>
      <w:tr w:rsidR="00B259E0" w:rsidRPr="00BD55A2" w:rsidTr="009D171F">
        <w:trPr>
          <w:trHeight w:val="3182"/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45" w:type="dxa"/>
            <w:shd w:val="clear" w:color="auto" w:fill="auto"/>
          </w:tcPr>
          <w:p w:rsidR="00585AFD" w:rsidRPr="00BD55A2" w:rsidRDefault="001E21A5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домов, признанных аварийными до 01.01.2012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2014</w:t>
            </w:r>
            <w:r w:rsidR="00E437FB"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2017 годы.</w:t>
            </w:r>
          </w:p>
          <w:p w:rsidR="00585AFD" w:rsidRPr="00BD55A2" w:rsidRDefault="001E21A5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3C9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5AFD" w:rsidRPr="00BD55A2" w:rsidRDefault="001E21A5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и многодетных семей города Мурманска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3C9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5AFD" w:rsidRPr="00BD55A2" w:rsidRDefault="001E21A5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>Переустройство и (или) перепланировка пустующих муниципальных нежилых помещений для перевода их в муниципальные жилые помещения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3C9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BD55A2" w:rsidTr="009D171F">
        <w:trPr>
          <w:trHeight w:val="3890"/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6945" w:type="dxa"/>
            <w:shd w:val="clear" w:color="auto" w:fill="auto"/>
          </w:tcPr>
          <w:p w:rsidR="00585AFD" w:rsidRPr="00BD55A2" w:rsidRDefault="00585AFD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3C9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муниципального имущества города Мурманска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3C9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3C9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5AFD" w:rsidRPr="00BD55A2" w:rsidRDefault="00585AFD" w:rsidP="00BD55A2">
            <w:pPr>
              <w:pStyle w:val="ConsPlusCell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92"/>
                <w:tab w:val="left" w:pos="775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АВЦП 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имущественных отношений города Мурманска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3C9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BD55A2" w:rsidTr="00674330">
        <w:trPr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945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tabs>
                <w:tab w:val="left" w:pos="208"/>
                <w:tab w:val="left" w:pos="3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КИО, КГТР, КЭР</w:t>
            </w:r>
          </w:p>
        </w:tc>
      </w:tr>
      <w:tr w:rsidR="00B259E0" w:rsidRPr="00BD55A2" w:rsidTr="00674330">
        <w:trPr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Заказчик–координатор программы</w:t>
            </w:r>
          </w:p>
        </w:tc>
        <w:tc>
          <w:tcPr>
            <w:tcW w:w="6945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tabs>
                <w:tab w:val="left" w:pos="208"/>
                <w:tab w:val="left" w:pos="3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259E0" w:rsidRPr="00BD55A2" w:rsidTr="00674330">
        <w:trPr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5" w:type="dxa"/>
          </w:tcPr>
          <w:p w:rsidR="00585AFD" w:rsidRPr="00BD55A2" w:rsidRDefault="00333C94" w:rsidP="00BD55A2">
            <w:pPr>
              <w:pStyle w:val="ConsPlusCell"/>
              <w:shd w:val="clear" w:color="auto" w:fill="FFFFFF" w:themeFill="background1"/>
              <w:tabs>
                <w:tab w:val="left" w:pos="208"/>
                <w:tab w:val="left" w:pos="3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585AF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51A7E" w:rsidRPr="00BD55A2" w:rsidTr="00674330">
        <w:trPr>
          <w:trHeight w:val="1386"/>
          <w:tblCellSpacing w:w="5" w:type="nil"/>
        </w:trPr>
        <w:tc>
          <w:tcPr>
            <w:tcW w:w="2694" w:type="dxa"/>
          </w:tcPr>
          <w:p w:rsidR="00751A7E" w:rsidRPr="00BD55A2" w:rsidRDefault="00751A7E" w:rsidP="00BD55A2">
            <w:pPr>
              <w:pStyle w:val="ConsPlusCell"/>
              <w:shd w:val="clear" w:color="auto" w:fill="FFFFFF" w:themeFill="background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945" w:type="dxa"/>
          </w:tcPr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Всего по муниципальной программе: 13 141 367,1 тыс. руб., в том числе: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2014 год – 951 811,9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2015 год – 1 284 891,0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2016 год – 954 681,7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2017 год – 923 234,6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2018 год – 941 465,9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2019 год – 8 085 282,0 тыс. руб.;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МБ:  – 3 290 425,7 тыс. руб., из них: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2014 год – 541 131,2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2015 год – 694 551,0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2016 год – 494 336,9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2017 год – 536 042,8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2018 год – 512 254,9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2019 год – 512 108,9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ОБ: – 221 306,7 тыс. руб., из них: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2014 год – 49 170,1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2015 год – 109 221,3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2016 год – 62 915,3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2017 год – 0,0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2018 год – 0,0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2019 год – 0,0 тыс. руб.;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ФБ: – 287 177,6 тыс. руб., из них: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2014 год – 61 288,8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2015 год – 171 042,8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2016 год – 54 846,0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2017 год – 0,0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2018 год – 0,0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2019 год – 0,0 тыс. руб.;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ВБ: – 9 342 457,1 тыс. руб., из них: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2014 год – 300 221,8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2015 год – 310 075,9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2016 год – 342 583,5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2017 год – 387 191,8 тыс. руб.; 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2018 год – 429 211,0 тыс. руб.;  </w:t>
            </w:r>
          </w:p>
          <w:p w:rsidR="0099360E" w:rsidRPr="00BD55A2" w:rsidRDefault="00F86FD5" w:rsidP="00BD55A2">
            <w:pPr>
              <w:shd w:val="clear" w:color="auto" w:fill="FFFFFF" w:themeFill="background1"/>
              <w:tabs>
                <w:tab w:val="left" w:pos="1936"/>
                <w:tab w:val="left" w:pos="2858"/>
                <w:tab w:val="left" w:pos="4518"/>
                <w:tab w:val="left" w:pos="6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2019 год – 7 573 173,1 тыс. руб.</w:t>
            </w:r>
            <w:r w:rsidRPr="00BD55A2">
              <w:rPr>
                <w:color w:val="000000" w:themeColor="text1"/>
                <w:sz w:val="24"/>
                <w:szCs w:val="24"/>
              </w:rPr>
              <w:t xml:space="preserve">  </w:t>
            </w:r>
          </w:p>
        </w:tc>
      </w:tr>
      <w:tr w:rsidR="00B259E0" w:rsidRPr="00BD55A2" w:rsidTr="00F02104">
        <w:trPr>
          <w:trHeight w:val="758"/>
          <w:tblCellSpacing w:w="5" w:type="nil"/>
        </w:trPr>
        <w:tc>
          <w:tcPr>
            <w:tcW w:w="2694" w:type="dxa"/>
          </w:tcPr>
          <w:p w:rsidR="00585AFD" w:rsidRPr="00BD55A2" w:rsidRDefault="00585AFD" w:rsidP="00BD55A2">
            <w:pPr>
              <w:pStyle w:val="ConsPlu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585AFD" w:rsidRPr="00BD55A2" w:rsidRDefault="00585AFD" w:rsidP="00BD55A2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Расселение 46 аварийных многоквартирных домов посредством обеспечения благоустроенным жильем </w:t>
            </w:r>
            <w:r w:rsidR="00D75E08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2658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граждан.</w:t>
            </w:r>
          </w:p>
          <w:p w:rsidR="003C5DB6" w:rsidRPr="00BD55A2" w:rsidRDefault="003C5DB6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благоустроенным жильем 9 109 граждан.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финансовой поддержки в при</w:t>
            </w:r>
            <w:r w:rsidR="00F02104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обретении собственного жилья </w:t>
            </w:r>
            <w:r w:rsidR="003C5DB6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молодым и многодетным семьям, в том числе в рамках участия в государственной программе Мурманской области </w:t>
            </w:r>
            <w:r w:rsidR="001E21A5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комфортной среды проживания населения региона</w:t>
            </w:r>
            <w:r w:rsidR="001E21A5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9403B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0202B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молодым семьям.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дополнительной финансовой поддержки при рождении детей (общее количество рожденных детей у молодых и многодетных семей</w:t>
            </w:r>
            <w:r w:rsidR="00E437FB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подпрограммы составит оценочно </w:t>
            </w:r>
            <w:r w:rsidR="003C5DB6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  <w:r w:rsidR="00F02104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 жилищную сферу дополнительных финансовых средств банков и других организаций, предоставляющих ипотечные жилищные кредиты и займы, а также собственных средств молодых и многодетных семей.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Стабилизация социальной и демографической ситуации в городе Мурманске.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семейных отношений и снижение социальной напряженности.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помещений.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комфортным жильем 61 семьи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объектов муниципального имущества, вовлеченных в хозяйственный оборот.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эффективности использования муниципального имущества. 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Сокращение количества объектов бесхозяйного имущества на территории города.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уставных капиталов открытых акционерных обществ.</w:t>
            </w:r>
          </w:p>
          <w:p w:rsidR="002A0CD5" w:rsidRPr="00BD55A2" w:rsidRDefault="002A0CD5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 для отнесения их к специализированным жилым помещениям.</w:t>
            </w:r>
          </w:p>
          <w:p w:rsidR="002A0CD5" w:rsidRPr="00BD55A2" w:rsidRDefault="002A0CD5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процедуры формирования (увеличения) уставных фондов муниципальных унитарных предприятий города Мурманска.</w:t>
            </w:r>
          </w:p>
          <w:p w:rsidR="002A0CD5" w:rsidRPr="00BD55A2" w:rsidRDefault="002A0CD5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производственной базы для ремонта, обслуживания и хранения общественного транспорта.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кадастровых работ по 42 земельным участкам.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качественного планово-картографического материала при выполнении кадастровых работ по земельным участкам общей площадью 12,3 гектаров.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Разграничение государственной собственности на землю, результатом которого станет обеспечение единого подхода к управлению государственной и муниципальной недвижимостью.</w:t>
            </w:r>
          </w:p>
          <w:p w:rsidR="00A5696D" w:rsidRPr="00BD55A2" w:rsidRDefault="00A5696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Методики определения арендной платы за пользование земельными участками, находящимися в собственности муниципального образования город Мурманск.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 по внесению дополнений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</w:t>
            </w:r>
            <w:r w:rsidR="00822029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Мурманск, а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земельными участками, государственная собственность на которые не разграничена.</w:t>
            </w:r>
          </w:p>
          <w:p w:rsidR="00585AFD" w:rsidRPr="00BD55A2" w:rsidRDefault="00585AFD" w:rsidP="00BD55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государственной политики по формированию единых объектов недвижимости, стимулирование их рационального использования и вовлечения в гражданский оборот.</w:t>
            </w:r>
          </w:p>
          <w:p w:rsidR="00585AFD" w:rsidRPr="00BD55A2" w:rsidRDefault="00585AFD" w:rsidP="00BD55A2">
            <w:pPr>
              <w:pStyle w:val="ConsPlu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92"/>
              </w:tabs>
              <w:autoSpaceDE w:val="0"/>
              <w:autoSpaceDN w:val="0"/>
              <w:adjustRightInd w:val="0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2">
              <w:rPr>
                <w:rFonts w:ascii="Times New Roman" w:hAnsi="Times New Roman"/>
                <w:bCs w:val="0"/>
                <w:sz w:val="24"/>
                <w:szCs w:val="24"/>
              </w:rPr>
              <w:t>Стимулирование инвестиционной деятельности на рынке недвижимости</w:t>
            </w:r>
            <w:r w:rsidR="003C5DB6" w:rsidRPr="00BD55A2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8A6308" w:rsidRPr="00BD55A2" w:rsidRDefault="003C5DB6" w:rsidP="00BD55A2">
            <w:pPr>
              <w:pStyle w:val="ConsPlu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9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A2">
              <w:rPr>
                <w:rFonts w:ascii="Times New Roman" w:hAnsi="Times New Roman"/>
                <w:sz w:val="24"/>
                <w:szCs w:val="24"/>
              </w:rPr>
              <w:t>Повышение качества автоматизации процесса по сбору и обработке информации, учитываемой в реестре муниципального имущества</w:t>
            </w:r>
          </w:p>
        </w:tc>
      </w:tr>
    </w:tbl>
    <w:p w:rsidR="002A0CD5" w:rsidRPr="00BD55A2" w:rsidRDefault="002A0CD5" w:rsidP="009E3715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2A0CD5" w:rsidRPr="00BD55A2" w:rsidSect="009E3715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F7" w:rsidRDefault="006279F7" w:rsidP="00585AFD">
      <w:pPr>
        <w:spacing w:after="0" w:line="240" w:lineRule="auto"/>
      </w:pPr>
      <w:r>
        <w:separator/>
      </w:r>
    </w:p>
  </w:endnote>
  <w:end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F7" w:rsidRDefault="006279F7" w:rsidP="00585AFD">
      <w:pPr>
        <w:spacing w:after="0" w:line="240" w:lineRule="auto"/>
      </w:pPr>
      <w:r>
        <w:separator/>
      </w:r>
    </w:p>
  </w:footnote>
  <w:foot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7" w:rsidRPr="00235139" w:rsidRDefault="006279F7">
    <w:pPr>
      <w:pStyle w:val="a4"/>
      <w:jc w:val="center"/>
      <w:rPr>
        <w:color w:val="000000" w:themeColor="text1"/>
      </w:rPr>
    </w:pPr>
  </w:p>
  <w:p w:rsidR="006279F7" w:rsidRPr="00235139" w:rsidRDefault="006279F7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7" w:rsidRPr="00613CCB" w:rsidRDefault="006279F7">
    <w:pPr>
      <w:pStyle w:val="a4"/>
      <w:jc w:val="center"/>
      <w:rPr>
        <w:color w:val="000000" w:themeColor="text1"/>
      </w:rPr>
    </w:pPr>
  </w:p>
  <w:p w:rsidR="006279F7" w:rsidRDefault="006279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36392"/>
    <w:rsid w:val="00040AEE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804D1"/>
    <w:rsid w:val="00080706"/>
    <w:rsid w:val="00082041"/>
    <w:rsid w:val="000846A5"/>
    <w:rsid w:val="0008601D"/>
    <w:rsid w:val="000863DA"/>
    <w:rsid w:val="000864AD"/>
    <w:rsid w:val="00090317"/>
    <w:rsid w:val="00090E5C"/>
    <w:rsid w:val="00097A86"/>
    <w:rsid w:val="000A4F51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D88"/>
    <w:rsid w:val="00252367"/>
    <w:rsid w:val="00252749"/>
    <w:rsid w:val="002540D7"/>
    <w:rsid w:val="00255526"/>
    <w:rsid w:val="0025759D"/>
    <w:rsid w:val="0026028F"/>
    <w:rsid w:val="00260C55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C2B99"/>
    <w:rsid w:val="002C3E38"/>
    <w:rsid w:val="002C508F"/>
    <w:rsid w:val="002C7911"/>
    <w:rsid w:val="002D047C"/>
    <w:rsid w:val="002D102B"/>
    <w:rsid w:val="002D313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1E15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A251A"/>
    <w:rsid w:val="004B4AE4"/>
    <w:rsid w:val="004B5341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0540"/>
    <w:rsid w:val="004E187A"/>
    <w:rsid w:val="004E21B1"/>
    <w:rsid w:val="004E3FB7"/>
    <w:rsid w:val="004E4EE5"/>
    <w:rsid w:val="004E798C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279F7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7286"/>
    <w:rsid w:val="00716241"/>
    <w:rsid w:val="0072350F"/>
    <w:rsid w:val="0073098D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38E0"/>
    <w:rsid w:val="007B721D"/>
    <w:rsid w:val="007C0780"/>
    <w:rsid w:val="007C0A9A"/>
    <w:rsid w:val="007C24BB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8075A7"/>
    <w:rsid w:val="00811910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6A42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65AA8"/>
    <w:rsid w:val="00970F3B"/>
    <w:rsid w:val="0097351F"/>
    <w:rsid w:val="00973F2B"/>
    <w:rsid w:val="00974B53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2384"/>
    <w:rsid w:val="009C30D3"/>
    <w:rsid w:val="009C6B53"/>
    <w:rsid w:val="009D128D"/>
    <w:rsid w:val="009D16F1"/>
    <w:rsid w:val="009D1712"/>
    <w:rsid w:val="009D171F"/>
    <w:rsid w:val="009D4DC7"/>
    <w:rsid w:val="009D5778"/>
    <w:rsid w:val="009D57E2"/>
    <w:rsid w:val="009D60B9"/>
    <w:rsid w:val="009E143A"/>
    <w:rsid w:val="009E2A1E"/>
    <w:rsid w:val="009E2B22"/>
    <w:rsid w:val="009E345D"/>
    <w:rsid w:val="009E3715"/>
    <w:rsid w:val="009E4B42"/>
    <w:rsid w:val="009F1027"/>
    <w:rsid w:val="009F3745"/>
    <w:rsid w:val="00A019EF"/>
    <w:rsid w:val="00A02C06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0478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2F71"/>
    <w:rsid w:val="00BD4986"/>
    <w:rsid w:val="00BD55A2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4156B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2F8C"/>
    <w:rsid w:val="00C94C43"/>
    <w:rsid w:val="00C959ED"/>
    <w:rsid w:val="00CA1054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2BE9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4018"/>
    <w:rsid w:val="00E941C9"/>
    <w:rsid w:val="00E968C0"/>
    <w:rsid w:val="00E97767"/>
    <w:rsid w:val="00E97C10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5AD4"/>
    <w:rsid w:val="00F07A83"/>
    <w:rsid w:val="00F12A4D"/>
    <w:rsid w:val="00F12CB3"/>
    <w:rsid w:val="00F137E5"/>
    <w:rsid w:val="00F16A3F"/>
    <w:rsid w:val="00F17893"/>
    <w:rsid w:val="00F20DC1"/>
    <w:rsid w:val="00F21F91"/>
    <w:rsid w:val="00F21FC6"/>
    <w:rsid w:val="00F2481C"/>
    <w:rsid w:val="00F25574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05F6"/>
    <w:rsid w:val="00F66B3B"/>
    <w:rsid w:val="00F67357"/>
    <w:rsid w:val="00F74A60"/>
    <w:rsid w:val="00F75830"/>
    <w:rsid w:val="00F811AF"/>
    <w:rsid w:val="00F82A1E"/>
    <w:rsid w:val="00F82A96"/>
    <w:rsid w:val="00F86FD5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8D4BF2-A841-437B-949D-07EB097F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2017-03-24T09:26:00Z</dcterms:created>
  <dcterms:modified xsi:type="dcterms:W3CDTF">2017-03-24T09:38:00Z</dcterms:modified>
</cp:coreProperties>
</file>