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1D" w:rsidRPr="009877AF" w:rsidRDefault="0008601D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9877AF">
        <w:rPr>
          <w:rFonts w:ascii="Times New Roman" w:hAnsi="Times New Roman" w:cs="Times New Roman"/>
          <w:bCs/>
          <w:sz w:val="28"/>
          <w:szCs w:val="28"/>
        </w:rPr>
        <w:t>. Ведомственная целевая программа</w:t>
      </w:r>
    </w:p>
    <w:p w:rsidR="0008601D" w:rsidRPr="009877AF" w:rsidRDefault="001E21A5" w:rsidP="00B872B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«</w:t>
      </w:r>
      <w:r w:rsidR="0008601D" w:rsidRPr="009877AF">
        <w:rPr>
          <w:rFonts w:ascii="Times New Roman" w:hAnsi="Times New Roman" w:cs="Times New Roman"/>
          <w:bCs/>
          <w:sz w:val="28"/>
          <w:szCs w:val="28"/>
        </w:rPr>
        <w:t>Создание условий для эффективного использования муниципального имущества города Мурманска</w:t>
      </w:r>
      <w:r w:rsidRPr="009877AF">
        <w:rPr>
          <w:rFonts w:ascii="Times New Roman" w:hAnsi="Times New Roman" w:cs="Times New Roman"/>
          <w:bCs/>
          <w:sz w:val="28"/>
          <w:szCs w:val="28"/>
        </w:rPr>
        <w:t>»</w:t>
      </w:r>
      <w:r w:rsidR="0008601D" w:rsidRPr="009877A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B52E4" w:rsidRPr="009877AF">
        <w:rPr>
          <w:rFonts w:ascii="Times New Roman" w:hAnsi="Times New Roman" w:cs="Times New Roman"/>
          <w:bCs/>
          <w:sz w:val="28"/>
          <w:szCs w:val="28"/>
        </w:rPr>
        <w:t>2014-2019</w:t>
      </w:r>
      <w:r w:rsidR="0008601D" w:rsidRPr="009877A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Паспорт ВЦП</w:t>
      </w:r>
    </w:p>
    <w:p w:rsidR="00E13E3F" w:rsidRPr="009877AF" w:rsidRDefault="00E13E3F" w:rsidP="00B872B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04"/>
        <w:gridCol w:w="6384"/>
      </w:tblGrid>
      <w:tr w:rsidR="00B259E0" w:rsidRPr="009877AF" w:rsidTr="0024356F">
        <w:trPr>
          <w:trHeight w:val="866"/>
          <w:tblCellSpacing w:w="5" w:type="nil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которую входит ВЦП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1E21A5" w:rsidRPr="00987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жилищная политика</w:t>
            </w:r>
            <w:r w:rsidR="001E21A5" w:rsidRPr="00987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B52E4" w:rsidRPr="009877AF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59E0" w:rsidRPr="009877AF" w:rsidTr="0024356F">
        <w:trPr>
          <w:trHeight w:val="691"/>
          <w:tblCellSpacing w:w="5" w:type="nil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Цель ВЦП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C" w:rsidRPr="009877AF" w:rsidRDefault="00437A62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и использования имущества в целях решения вопросов местного значения</w:t>
            </w:r>
          </w:p>
        </w:tc>
      </w:tr>
      <w:tr w:rsidR="00B259E0" w:rsidRPr="009877AF" w:rsidTr="00DB2589">
        <w:trPr>
          <w:trHeight w:val="249"/>
          <w:tblCellSpacing w:w="5" w:type="nil"/>
        </w:trPr>
        <w:tc>
          <w:tcPr>
            <w:tcW w:w="1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Задачи ВЦП</w:t>
            </w:r>
          </w:p>
        </w:tc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E0" w:rsidRPr="009877AF" w:rsidTr="0024356F">
        <w:trPr>
          <w:trHeight w:val="346"/>
          <w:tblCellSpacing w:w="5" w:type="nil"/>
        </w:trPr>
        <w:tc>
          <w:tcPr>
            <w:tcW w:w="1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(индикаторы) реализации ВЦП</w:t>
            </w:r>
          </w:p>
        </w:tc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08601D" w:rsidRPr="009877AF" w:rsidRDefault="00437A62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01D" w:rsidRPr="009877AF">
              <w:rPr>
                <w:rFonts w:ascii="Times New Roman" w:hAnsi="Times New Roman" w:cs="Times New Roman"/>
                <w:sz w:val="24"/>
                <w:szCs w:val="24"/>
              </w:rPr>
              <w:t>. Количество объектов бесхозяйного имущества, принятых в муниципальную собственность.</w:t>
            </w:r>
          </w:p>
          <w:p w:rsidR="0008601D" w:rsidRPr="009877AF" w:rsidRDefault="00437A62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01D"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0A9A" w:rsidRPr="009877AF">
              <w:rPr>
                <w:rFonts w:ascii="Times New Roman" w:hAnsi="Times New Roman" w:cs="Times New Roman"/>
                <w:sz w:val="24"/>
                <w:szCs w:val="24"/>
              </w:rPr>
              <w:t>Количество работ, выполненных в целях повышения эффективности использ</w:t>
            </w:r>
            <w:r w:rsidR="00F770B2"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ования муниципального имущества </w:t>
            </w:r>
            <w:r w:rsidR="007C0A9A" w:rsidRPr="009877AF">
              <w:rPr>
                <w:rFonts w:ascii="Times New Roman" w:hAnsi="Times New Roman" w:cs="Times New Roman"/>
                <w:sz w:val="24"/>
                <w:szCs w:val="24"/>
              </w:rPr>
              <w:t>и земельных участков</w:t>
            </w:r>
            <w:r w:rsidR="00DB2589" w:rsidRPr="00987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0B2" w:rsidRPr="009877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01D" w:rsidRPr="009877AF">
              <w:rPr>
                <w:rFonts w:ascii="Times New Roman" w:hAnsi="Times New Roman" w:cs="Times New Roman"/>
                <w:sz w:val="24"/>
                <w:szCs w:val="24"/>
              </w:rPr>
              <w:t>. Количество открытых акционерных обществ, в отношении которых произведена процедура увеличения уставного капитала.</w:t>
            </w:r>
          </w:p>
          <w:p w:rsidR="0008601D" w:rsidRPr="009877AF" w:rsidRDefault="00437A62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01D" w:rsidRPr="00987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01D" w:rsidRPr="0098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жилых помещений, приобретенных с целью п</w:t>
            </w:r>
            <w:r w:rsidR="0008601D" w:rsidRPr="009877AF">
              <w:rPr>
                <w:rFonts w:ascii="Times New Roman" w:hAnsi="Times New Roman" w:cs="Times New Roman"/>
                <w:sz w:val="24"/>
                <w:szCs w:val="24"/>
              </w:rPr>
              <w:t>ополнения муниципального специализированного жилищного фонда.</w:t>
            </w:r>
          </w:p>
          <w:p w:rsidR="0008601D" w:rsidRPr="009877AF" w:rsidRDefault="00437A62" w:rsidP="00B872B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601D" w:rsidRPr="00987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Количество муниципальных унитарных предприятий города Мурманска, в отношении которых произведена процедура формирования (увеличения) уставного фонда</w:t>
            </w:r>
            <w:r w:rsidR="00DB2589" w:rsidRPr="00987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2FB" w:rsidRPr="009877AF" w:rsidRDefault="00437A62" w:rsidP="00B872B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E3F" w:rsidRPr="00987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Количество приобретенных производственных баз для ремонта, обслуживания и хранения общественного транспорта, ед.</w:t>
            </w:r>
          </w:p>
        </w:tc>
      </w:tr>
      <w:tr w:rsidR="00B259E0" w:rsidRPr="009877AF" w:rsidTr="0024356F">
        <w:trPr>
          <w:trHeight w:val="387"/>
          <w:tblCellSpacing w:w="5" w:type="nil"/>
        </w:trPr>
        <w:tc>
          <w:tcPr>
            <w:tcW w:w="1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B259E0" w:rsidRPr="009877AF" w:rsidTr="0024356F">
        <w:trPr>
          <w:trHeight w:val="571"/>
          <w:tblCellSpacing w:w="5" w:type="nil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ВЦП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DB52E4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="0008601D"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A486D" w:rsidRPr="009877AF" w:rsidTr="0024356F">
        <w:trPr>
          <w:trHeight w:val="415"/>
          <w:tblCellSpacing w:w="5" w:type="nil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D" w:rsidRPr="009877AF" w:rsidRDefault="008A486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ВЦП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1D4846" w:rsidRDefault="001D4846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4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 928 149,3 тыс. руб., в том числе:</w:t>
            </w:r>
          </w:p>
          <w:p w:rsidR="001D4846" w:rsidRPr="001D4846" w:rsidRDefault="001D4846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46">
              <w:rPr>
                <w:rFonts w:ascii="Times New Roman" w:hAnsi="Times New Roman" w:cs="Times New Roman"/>
                <w:sz w:val="24"/>
                <w:szCs w:val="24"/>
              </w:rPr>
              <w:t>МБ: 928 149,3 тыс. руб., из них:</w:t>
            </w:r>
          </w:p>
          <w:p w:rsidR="001D4846" w:rsidRPr="001D4846" w:rsidRDefault="001D4846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46">
              <w:rPr>
                <w:rFonts w:ascii="Times New Roman" w:hAnsi="Times New Roman" w:cs="Times New Roman"/>
                <w:sz w:val="24"/>
                <w:szCs w:val="24"/>
              </w:rPr>
              <w:t xml:space="preserve">2014 год – 162 269,9 тыс. руб.; </w:t>
            </w:r>
          </w:p>
          <w:p w:rsidR="001D4846" w:rsidRPr="001D4846" w:rsidRDefault="001D4846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4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286 956,6 тыс. руб.; </w:t>
            </w:r>
          </w:p>
          <w:p w:rsidR="001D4846" w:rsidRPr="001D4846" w:rsidRDefault="001D4846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4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78 008,3 тыс. руб.; </w:t>
            </w:r>
          </w:p>
          <w:p w:rsidR="001D4846" w:rsidRPr="001D4846" w:rsidRDefault="001D4846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4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209 172,7 тыс. руб.; </w:t>
            </w:r>
            <w:r w:rsidRPr="001D48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4846" w:rsidRPr="001D4846" w:rsidRDefault="001D4846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4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95 943,9 тыс. руб.; </w:t>
            </w:r>
          </w:p>
          <w:p w:rsidR="008A486D" w:rsidRPr="009877AF" w:rsidRDefault="001D4846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46">
              <w:rPr>
                <w:rFonts w:ascii="Times New Roman" w:hAnsi="Times New Roman" w:cs="Times New Roman"/>
                <w:sz w:val="24"/>
                <w:szCs w:val="24"/>
              </w:rPr>
              <w:t>2019 год – 95 797,9 тыс. руб.</w:t>
            </w:r>
          </w:p>
        </w:tc>
      </w:tr>
      <w:tr w:rsidR="00B259E0" w:rsidRPr="009877AF" w:rsidTr="0024356F">
        <w:trPr>
          <w:trHeight w:val="400"/>
          <w:tblCellSpacing w:w="5" w:type="nil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ВЦП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объектов муниципального имущества, вовлеченных в хозяйственный оборот</w:t>
            </w:r>
            <w:r w:rsidR="00DB2589" w:rsidRPr="00987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использ</w:t>
            </w:r>
            <w:r w:rsidR="00E13B62" w:rsidRPr="009877AF">
              <w:rPr>
                <w:rFonts w:ascii="Times New Roman" w:hAnsi="Times New Roman" w:cs="Times New Roman"/>
                <w:sz w:val="24"/>
                <w:szCs w:val="24"/>
              </w:rPr>
              <w:t>ования муниципального имущества</w:t>
            </w:r>
            <w:r w:rsidR="00DB2589" w:rsidRPr="00987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3. Сокращение количества объектов бесхозяйного имущества на территории города</w:t>
            </w:r>
            <w:r w:rsidR="00DB2589" w:rsidRPr="00987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AB4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Увеличение уставных капитал</w:t>
            </w:r>
            <w:r w:rsidR="00E13B62" w:rsidRPr="009877AF">
              <w:rPr>
                <w:rFonts w:ascii="Times New Roman" w:hAnsi="Times New Roman" w:cs="Times New Roman"/>
                <w:sz w:val="24"/>
                <w:szCs w:val="24"/>
              </w:rPr>
              <w:t>ов открытых акционерных обществ</w:t>
            </w:r>
            <w:r w:rsidR="00DB2589" w:rsidRPr="00987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01D" w:rsidRPr="009877AF" w:rsidRDefault="003F2AB4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Приобретение жилых помещений для отнесения их к специализированным жилым помещениям</w:t>
            </w:r>
            <w:r w:rsidR="00DB2589" w:rsidRPr="0098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01D" w:rsidRPr="009877AF" w:rsidRDefault="003F2AB4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01D"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F40" w:rsidRPr="009877AF">
              <w:rPr>
                <w:rFonts w:ascii="Times New Roman" w:hAnsi="Times New Roman" w:cs="Times New Roman"/>
                <w:sz w:val="24"/>
                <w:szCs w:val="24"/>
              </w:rPr>
              <w:t>Осуществление проц</w:t>
            </w: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едуры формирования (увеличения) у</w:t>
            </w:r>
            <w:r w:rsidR="0008601D" w:rsidRPr="009877AF">
              <w:rPr>
                <w:rFonts w:ascii="Times New Roman" w:hAnsi="Times New Roman" w:cs="Times New Roman"/>
                <w:sz w:val="24"/>
                <w:szCs w:val="24"/>
              </w:rPr>
              <w:t>величение уставных фондов муниципальных унитарных предприятий</w:t>
            </w:r>
            <w:r w:rsidR="00E13B62"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 города Мурманска</w:t>
            </w:r>
            <w:r w:rsidR="00DB2589" w:rsidRPr="00987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759" w:rsidRPr="009877AF" w:rsidRDefault="00F51759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987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производственной базы для ремонта, обслуживания и хранения общественного транспорта</w:t>
            </w:r>
            <w:r w:rsidR="00DD0740" w:rsidRPr="00987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7A5D" w:rsidRPr="009877AF" w:rsidRDefault="00DD0740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2D4B40" w:rsidRPr="002D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автоматизации процесса сбора и обработки информации, учитываемой в реестре муниципального имущества</w:t>
            </w:r>
          </w:p>
        </w:tc>
      </w:tr>
    </w:tbl>
    <w:p w:rsidR="0008601D" w:rsidRPr="009877AF" w:rsidRDefault="0008601D" w:rsidP="00B872B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1. Характеристика проблемы, на решение которой направлена ВЦП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 город Мурманск, в том числе: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- при определении стоимости объектов в целях их приватизации, передачи в доверительное управление либо передачи в аренду;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- при использовании объектов в качестве предмета залога;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- при переуступке долговых обязательств, связанных с объектами;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- при передаче объектов в качестве вклада в уставные капиталы, фонды юридических лиц, а также при возникновении спора о стоимости объекта оценки;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- при определении рыночной стоимости платы за объекты, арендуемые либо планируемые к передаче в аренду;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- при приеме в собственность муниципального образования город Мурманск бесхозяйного недвижимого имущества; 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- при постановке иных объектов на учет (включении в реестр муниципального имущества города Мурманска).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согласно ст. 17.1 Федерального закона от 29.07.1998№ 135-ФЗ </w:t>
      </w:r>
      <w:r w:rsidR="001E21A5" w:rsidRPr="009877AF">
        <w:rPr>
          <w:rFonts w:ascii="Times New Roman" w:hAnsi="Times New Roman" w:cs="Times New Roman"/>
          <w:bCs/>
          <w:sz w:val="28"/>
          <w:szCs w:val="28"/>
        </w:rPr>
        <w:t>«</w:t>
      </w:r>
      <w:r w:rsidRPr="009877AF">
        <w:rPr>
          <w:rFonts w:ascii="Times New Roman" w:hAnsi="Times New Roman" w:cs="Times New Roman"/>
          <w:bCs/>
          <w:sz w:val="28"/>
          <w:szCs w:val="28"/>
        </w:rPr>
        <w:t>Об оценочной деятельности в Российской Федерации</w:t>
      </w:r>
      <w:r w:rsidR="001E21A5" w:rsidRPr="009877AF">
        <w:rPr>
          <w:rFonts w:ascii="Times New Roman" w:hAnsi="Times New Roman" w:cs="Times New Roman"/>
          <w:bCs/>
          <w:sz w:val="28"/>
          <w:szCs w:val="28"/>
        </w:rPr>
        <w:t>»</w:t>
      </w:r>
      <w:r w:rsidRPr="009877AF">
        <w:rPr>
          <w:rFonts w:ascii="Times New Roman" w:hAnsi="Times New Roman" w:cs="Times New Roman"/>
          <w:bCs/>
          <w:sz w:val="28"/>
          <w:szCs w:val="28"/>
        </w:rPr>
        <w:t xml:space="preserve"> отчет об оценке не является окончательным подтверждением стоимости объекта оценки и в ряде случаев требуется экспертиза отчетов об оценке.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В соответствии со ст.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казны города Мурманска.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lastRenderedPageBreak/>
        <w:t>По состоянию на 01.08.2013 в составе муниципальной казны города Мурманска находится следующее недвижимое имущество:</w:t>
      </w:r>
    </w:p>
    <w:p w:rsidR="000678C3" w:rsidRPr="009877AF" w:rsidRDefault="000678C3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1"/>
        <w:gridCol w:w="5562"/>
        <w:gridCol w:w="3635"/>
      </w:tblGrid>
      <w:tr w:rsidR="00B259E0" w:rsidRPr="009877AF" w:rsidTr="0024356F">
        <w:trPr>
          <w:trHeight w:val="317"/>
          <w:tblHeader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Тип имущества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</w:tr>
      <w:tr w:rsidR="00B259E0" w:rsidRPr="009877AF" w:rsidTr="0024356F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Нежилой фонд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1 369</w:t>
            </w:r>
          </w:p>
        </w:tc>
      </w:tr>
      <w:tr w:rsidR="00B259E0" w:rsidRPr="009877AF" w:rsidTr="0024356F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18 207</w:t>
            </w:r>
          </w:p>
        </w:tc>
      </w:tr>
      <w:tr w:rsidR="00B259E0" w:rsidRPr="009877AF" w:rsidTr="0024356F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инфраструктуры, внешнего благоустройства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1 413</w:t>
            </w:r>
          </w:p>
        </w:tc>
      </w:tr>
      <w:tr w:rsidR="00B259E0" w:rsidRPr="009877AF" w:rsidTr="0024356F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9E0" w:rsidRPr="009877AF" w:rsidTr="0024356F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B259E0" w:rsidRPr="009877AF" w:rsidTr="0024356F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21 227</w:t>
            </w:r>
          </w:p>
        </w:tc>
      </w:tr>
    </w:tbl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77AF">
        <w:rPr>
          <w:rFonts w:ascii="Times New Roman" w:hAnsi="Times New Roman" w:cs="Times New Roman"/>
          <w:bCs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</w:t>
      </w:r>
      <w:proofErr w:type="gramEnd"/>
      <w:r w:rsidRPr="009877AF">
        <w:rPr>
          <w:rFonts w:ascii="Times New Roman" w:hAnsi="Times New Roman" w:cs="Times New Roman"/>
          <w:bCs/>
          <w:sz w:val="28"/>
          <w:szCs w:val="28"/>
        </w:rPr>
        <w:t xml:space="preserve"> недвижимое имущество и т.д.), а также для обеспечения государственной регистрации прав.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77AF">
        <w:rPr>
          <w:rFonts w:ascii="Times New Roman" w:hAnsi="Times New Roman" w:cs="Times New Roman"/>
          <w:bCs/>
          <w:sz w:val="28"/>
          <w:szCs w:val="28"/>
        </w:rPr>
        <w:t xml:space="preserve">Также ВЦП определяет действия комитета имущественных отношений города Мурманска по обеспечению деятельности Мурманского муниципального </w:t>
      </w:r>
      <w:r w:rsidR="00FD6B43" w:rsidRPr="009877AF">
        <w:rPr>
          <w:rFonts w:ascii="Times New Roman" w:hAnsi="Times New Roman" w:cs="Times New Roman"/>
          <w:bCs/>
          <w:sz w:val="28"/>
          <w:szCs w:val="28"/>
        </w:rPr>
        <w:t>казенного</w:t>
      </w:r>
      <w:r w:rsidRPr="009877AF">
        <w:rPr>
          <w:rFonts w:ascii="Times New Roman" w:hAnsi="Times New Roman" w:cs="Times New Roman"/>
          <w:bCs/>
          <w:sz w:val="28"/>
          <w:szCs w:val="28"/>
        </w:rPr>
        <w:t xml:space="preserve"> учреждения </w:t>
      </w:r>
      <w:r w:rsidR="001E21A5" w:rsidRPr="009877AF">
        <w:rPr>
          <w:rFonts w:ascii="Times New Roman" w:hAnsi="Times New Roman" w:cs="Times New Roman"/>
          <w:bCs/>
          <w:sz w:val="28"/>
          <w:szCs w:val="28"/>
        </w:rPr>
        <w:t>«</w:t>
      </w:r>
      <w:r w:rsidRPr="009877AF">
        <w:rPr>
          <w:rFonts w:ascii="Times New Roman" w:hAnsi="Times New Roman" w:cs="Times New Roman"/>
          <w:bCs/>
          <w:sz w:val="28"/>
          <w:szCs w:val="28"/>
        </w:rPr>
        <w:t>Центр по контролю за использованием муниципального имущества</w:t>
      </w:r>
      <w:r w:rsidR="001E21A5" w:rsidRPr="009877AF">
        <w:rPr>
          <w:rFonts w:ascii="Times New Roman" w:hAnsi="Times New Roman" w:cs="Times New Roman"/>
          <w:bCs/>
          <w:sz w:val="28"/>
          <w:szCs w:val="28"/>
        </w:rPr>
        <w:t>»</w:t>
      </w:r>
      <w:r w:rsidRPr="009877AF">
        <w:rPr>
          <w:rFonts w:ascii="Times New Roman" w:hAnsi="Times New Roman" w:cs="Times New Roman"/>
          <w:bCs/>
          <w:sz w:val="28"/>
          <w:szCs w:val="28"/>
        </w:rPr>
        <w:t>, направленные на создание условий для вовлечения в хозяйственный оборот объектов муниципального имущества, снижение уровня имеющейся задолженности по арендой плате, количества земельных участков, используемых не по назначению, и проверку обоснованности сумм исковых требований о взыскании стоимости оказанных услуг</w:t>
      </w:r>
      <w:proofErr w:type="gramEnd"/>
      <w:r w:rsidRPr="009877AF">
        <w:rPr>
          <w:rFonts w:ascii="Times New Roman" w:hAnsi="Times New Roman" w:cs="Times New Roman"/>
          <w:bCs/>
          <w:sz w:val="28"/>
          <w:szCs w:val="28"/>
        </w:rPr>
        <w:t xml:space="preserve"> по содержанию общего долевого имущества и коммунальных услуг, предъявленных к муниципальному образованию город Мурманск, что позволит повысить эффективность муниципального управления в целом.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Таким образом, программные мероприятия направлены на решение конкретных задач по учету и эффективному использованию муниципального имущества.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В целях решения вопроса о создании на базе ОАО</w:t>
      </w:r>
      <w:r w:rsidR="001E21A5" w:rsidRPr="009877AF">
        <w:rPr>
          <w:rFonts w:ascii="Times New Roman" w:hAnsi="Times New Roman" w:cs="Times New Roman"/>
          <w:bCs/>
          <w:sz w:val="28"/>
          <w:szCs w:val="28"/>
        </w:rPr>
        <w:t>«</w:t>
      </w:r>
      <w:r w:rsidRPr="009877AF">
        <w:rPr>
          <w:rFonts w:ascii="Times New Roman" w:hAnsi="Times New Roman" w:cs="Times New Roman"/>
          <w:bCs/>
          <w:sz w:val="28"/>
          <w:szCs w:val="28"/>
        </w:rPr>
        <w:t>Электротранспорт</w:t>
      </w:r>
      <w:r w:rsidR="001E21A5" w:rsidRPr="009877AF">
        <w:rPr>
          <w:rFonts w:ascii="Times New Roman" w:hAnsi="Times New Roman" w:cs="Times New Roman"/>
          <w:bCs/>
          <w:sz w:val="28"/>
          <w:szCs w:val="28"/>
        </w:rPr>
        <w:t>»</w:t>
      </w:r>
      <w:r w:rsidRPr="009877AF">
        <w:rPr>
          <w:rFonts w:ascii="Times New Roman" w:hAnsi="Times New Roman" w:cs="Times New Roman"/>
          <w:bCs/>
          <w:sz w:val="28"/>
          <w:szCs w:val="28"/>
        </w:rPr>
        <w:t xml:space="preserve"> подразделения по автобусному обслуживанию населения, в частности для приобретения необходимого количества автобусов и создания (ремонта) производственной базы, в 2014 году было запланировано увеличение уставного капитала указанного общества.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В 2014 году был заключен договор купли-продажи акций, в соответствии с которым в качестве вклада в уставный капитал общества было передано недвижимое имущество и денежные средства в сумме 130 000,0 тыс. руб. 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Так как данная задача обществом была решена, а эмиссия акций в 2014 году не состоялась, процедура дополнительной эмиссии акций с соблюдением </w:t>
      </w:r>
      <w:r w:rsidRPr="009877AF">
        <w:rPr>
          <w:rFonts w:ascii="Times New Roman" w:hAnsi="Times New Roman" w:cs="Times New Roman"/>
          <w:bCs/>
          <w:sz w:val="28"/>
          <w:szCs w:val="28"/>
        </w:rPr>
        <w:lastRenderedPageBreak/>
        <w:t>требований, установленных законодательством РФ, будет проведена в 2015 году.</w:t>
      </w:r>
    </w:p>
    <w:p w:rsidR="0008601D" w:rsidRPr="009877AF" w:rsidRDefault="0008601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 xml:space="preserve">В настоящее время в муниципальном образовании город Мурманск имеется 317 жилых помещений, отнесенных к </w:t>
      </w:r>
      <w:proofErr w:type="gramStart"/>
      <w:r w:rsidRPr="009877AF">
        <w:rPr>
          <w:rFonts w:ascii="Times New Roman" w:hAnsi="Times New Roman"/>
        </w:rPr>
        <w:t>маневренным</w:t>
      </w:r>
      <w:proofErr w:type="gramEnd"/>
      <w:r w:rsidRPr="009877AF">
        <w:rPr>
          <w:rFonts w:ascii="Times New Roman" w:hAnsi="Times New Roman"/>
        </w:rPr>
        <w:t>.</w:t>
      </w:r>
    </w:p>
    <w:p w:rsidR="0008601D" w:rsidRPr="009877AF" w:rsidRDefault="0008601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 xml:space="preserve">Все указанные жилые помещения в настоящее время заселены гражданами. Свободные жилые помещения, отнесенные к </w:t>
      </w:r>
      <w:proofErr w:type="gramStart"/>
      <w:r w:rsidRPr="009877AF">
        <w:rPr>
          <w:rFonts w:ascii="Times New Roman" w:hAnsi="Times New Roman"/>
        </w:rPr>
        <w:t>маневренным</w:t>
      </w:r>
      <w:proofErr w:type="gramEnd"/>
      <w:r w:rsidRPr="009877AF">
        <w:rPr>
          <w:rFonts w:ascii="Times New Roman" w:hAnsi="Times New Roman"/>
        </w:rPr>
        <w:t>, отсутствуют.</w:t>
      </w:r>
    </w:p>
    <w:p w:rsidR="0008601D" w:rsidRPr="009877AF" w:rsidRDefault="0008601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>В настоящее время в комите</w:t>
      </w:r>
      <w:r w:rsidR="00360F62" w:rsidRPr="009877AF">
        <w:rPr>
          <w:rFonts w:ascii="Times New Roman" w:hAnsi="Times New Roman"/>
        </w:rPr>
        <w:t xml:space="preserve">те находится на рассмотрении 63 </w:t>
      </w:r>
      <w:r w:rsidRPr="009877AF">
        <w:rPr>
          <w:rFonts w:ascii="Times New Roman" w:hAnsi="Times New Roman"/>
        </w:rPr>
        <w:t xml:space="preserve">обращения на предоставление помещений маневренного фонда 157 жителям города, предоставить которые не представляется возможным в связи с отсутствием таковых. </w:t>
      </w:r>
    </w:p>
    <w:p w:rsidR="0008601D" w:rsidRPr="009877AF" w:rsidRDefault="0008601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 xml:space="preserve">Количество освобождаемых маневренных жилых помещений недостаточно, в </w:t>
      </w:r>
      <w:proofErr w:type="gramStart"/>
      <w:r w:rsidRPr="009877AF">
        <w:rPr>
          <w:rFonts w:ascii="Times New Roman" w:hAnsi="Times New Roman"/>
        </w:rPr>
        <w:t>связи</w:t>
      </w:r>
      <w:proofErr w:type="gramEnd"/>
      <w:r w:rsidRPr="009877AF">
        <w:rPr>
          <w:rFonts w:ascii="Times New Roman" w:hAnsi="Times New Roman"/>
        </w:rPr>
        <w:t xml:space="preserve">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</w:t>
      </w:r>
    </w:p>
    <w:p w:rsidR="0008601D" w:rsidRPr="009877AF" w:rsidRDefault="0008601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:rsidR="0008601D" w:rsidRPr="009877AF" w:rsidRDefault="0008601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877AF">
        <w:rPr>
          <w:rFonts w:ascii="Times New Roman" w:hAnsi="Times New Roman"/>
        </w:rPr>
        <w:t>В целях обеспечения повышения эффективности деятельности муниципальных унитарных предприятий города Мурманска в 2015 году планируется увеличение уставного фонда Мурманского муницип</w:t>
      </w:r>
      <w:r w:rsidR="00F51759" w:rsidRPr="009877AF">
        <w:rPr>
          <w:rFonts w:ascii="Times New Roman" w:hAnsi="Times New Roman"/>
        </w:rPr>
        <w:t xml:space="preserve">ального унитарного предприятия </w:t>
      </w:r>
      <w:r w:rsidR="001E21A5" w:rsidRPr="009877AF">
        <w:rPr>
          <w:rFonts w:ascii="Times New Roman" w:hAnsi="Times New Roman"/>
        </w:rPr>
        <w:t>«</w:t>
      </w:r>
      <w:r w:rsidRPr="009877AF">
        <w:rPr>
          <w:rFonts w:ascii="Times New Roman" w:hAnsi="Times New Roman"/>
        </w:rPr>
        <w:t>Центр</w:t>
      </w:r>
      <w:r w:rsidR="00F51759" w:rsidRPr="009877AF">
        <w:rPr>
          <w:rFonts w:ascii="Times New Roman" w:hAnsi="Times New Roman"/>
        </w:rPr>
        <w:t xml:space="preserve"> временного содержания животных</w:t>
      </w:r>
      <w:r w:rsidR="001E21A5" w:rsidRPr="009877AF">
        <w:rPr>
          <w:rFonts w:ascii="Times New Roman" w:hAnsi="Times New Roman"/>
        </w:rPr>
        <w:t>»</w:t>
      </w:r>
      <w:r w:rsidRPr="009877AF">
        <w:rPr>
          <w:rFonts w:ascii="Times New Roman" w:hAnsi="Times New Roman"/>
        </w:rPr>
        <w:t xml:space="preserve"> в связи с необходимостью приобретения автомобильного прицепа для транспортирования животных, оставленных без попечения и не имеющих непосредственного надзора со стороны собственника (владельца), в том числе бродячих и одичавших.</w:t>
      </w:r>
      <w:proofErr w:type="gramEnd"/>
    </w:p>
    <w:p w:rsidR="00360F62" w:rsidRPr="009877AF" w:rsidRDefault="00360F62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>ОАО</w:t>
      </w:r>
      <w:r w:rsidR="001E21A5" w:rsidRPr="009877AF">
        <w:rPr>
          <w:rFonts w:ascii="Times New Roman" w:hAnsi="Times New Roman"/>
        </w:rPr>
        <w:t>«</w:t>
      </w:r>
      <w:r w:rsidRPr="009877AF">
        <w:rPr>
          <w:rFonts w:ascii="Times New Roman" w:hAnsi="Times New Roman"/>
        </w:rPr>
        <w:t>Электротранспорт</w:t>
      </w:r>
      <w:r w:rsidR="001E21A5" w:rsidRPr="009877AF">
        <w:rPr>
          <w:rFonts w:ascii="Times New Roman" w:hAnsi="Times New Roman"/>
        </w:rPr>
        <w:t>»</w:t>
      </w:r>
      <w:r w:rsidRPr="009877AF">
        <w:rPr>
          <w:rFonts w:ascii="Times New Roman" w:hAnsi="Times New Roman"/>
        </w:rPr>
        <w:t xml:space="preserve"> осуществляет перевозки пассажиров в городе Мурманске транспортом большой вместимости по 19 социально-значимым автобусным и троллейбусным маршрутам. На рынке транспортных услуг доля перевозимых пассажиров составляет более 75%. В сегменте перевозки транспортом большой вместимости</w:t>
      </w:r>
      <w:r w:rsidR="00DD7B2B" w:rsidRPr="009877AF">
        <w:rPr>
          <w:rFonts w:ascii="Times New Roman" w:hAnsi="Times New Roman"/>
        </w:rPr>
        <w:t xml:space="preserve"> – </w:t>
      </w:r>
      <w:r w:rsidRPr="009877AF">
        <w:rPr>
          <w:rFonts w:ascii="Times New Roman" w:hAnsi="Times New Roman"/>
        </w:rPr>
        <w:t>100%. Годовая перевозка пассажиров увеличивается и составляет около 50 млн. человек.</w:t>
      </w:r>
    </w:p>
    <w:p w:rsidR="00360F62" w:rsidRPr="009877AF" w:rsidRDefault="00360F62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>ОАО</w:t>
      </w:r>
      <w:r w:rsidR="001E21A5" w:rsidRPr="009877AF">
        <w:rPr>
          <w:rFonts w:ascii="Times New Roman" w:hAnsi="Times New Roman"/>
        </w:rPr>
        <w:t>«</w:t>
      </w:r>
      <w:r w:rsidRPr="009877AF">
        <w:rPr>
          <w:rFonts w:ascii="Times New Roman" w:hAnsi="Times New Roman"/>
        </w:rPr>
        <w:t>Электротранспорт</w:t>
      </w:r>
      <w:r w:rsidR="001E21A5" w:rsidRPr="009877AF">
        <w:rPr>
          <w:rFonts w:ascii="Times New Roman" w:hAnsi="Times New Roman"/>
        </w:rPr>
        <w:t>»</w:t>
      </w:r>
      <w:r w:rsidRPr="009877AF">
        <w:rPr>
          <w:rFonts w:ascii="Times New Roman" w:hAnsi="Times New Roman"/>
        </w:rPr>
        <w:t xml:space="preserve"> имеет 3 производственные площадки, предназначенные для обслуживания и ремонта троллейбусов, автобусов и специализированной техники.</w:t>
      </w:r>
    </w:p>
    <w:p w:rsidR="00360F62" w:rsidRPr="009877AF" w:rsidRDefault="00360F62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>Вместе с тем, ОАО</w:t>
      </w:r>
      <w:r w:rsidR="001E21A5" w:rsidRPr="009877AF">
        <w:rPr>
          <w:rFonts w:ascii="Times New Roman" w:hAnsi="Times New Roman"/>
        </w:rPr>
        <w:t>«</w:t>
      </w:r>
      <w:r w:rsidRPr="009877AF">
        <w:rPr>
          <w:rFonts w:ascii="Times New Roman" w:hAnsi="Times New Roman"/>
        </w:rPr>
        <w:t>Электротранспорт</w:t>
      </w:r>
      <w:r w:rsidR="001E21A5" w:rsidRPr="009877AF">
        <w:rPr>
          <w:rFonts w:ascii="Times New Roman" w:hAnsi="Times New Roman"/>
        </w:rPr>
        <w:t>»</w:t>
      </w:r>
      <w:r w:rsidRPr="009877AF">
        <w:rPr>
          <w:rFonts w:ascii="Times New Roman" w:hAnsi="Times New Roman"/>
        </w:rPr>
        <w:t xml:space="preserve"> на сегодняшний день производит подготовку подвижного состава к работе на линии в стесненных условиях и остро испытывает нехватку производственных мощностей для ремонта и обслуживания, а </w:t>
      </w:r>
      <w:r w:rsidR="00853343" w:rsidRPr="009877AF">
        <w:rPr>
          <w:rFonts w:ascii="Times New Roman" w:hAnsi="Times New Roman"/>
        </w:rPr>
        <w:t>также</w:t>
      </w:r>
      <w:r w:rsidRPr="009877AF">
        <w:rPr>
          <w:rFonts w:ascii="Times New Roman" w:hAnsi="Times New Roman"/>
        </w:rPr>
        <w:t xml:space="preserve"> недостаток территорий для безопасного хранения авто и электротранспорта. </w:t>
      </w:r>
    </w:p>
    <w:p w:rsidR="00360F62" w:rsidRPr="009877AF" w:rsidRDefault="00360F62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 xml:space="preserve">Для нормальной работы предприятия необходимо увеличение производственных мощностей и расширение территорий уже на существующий объем движения. </w:t>
      </w:r>
    </w:p>
    <w:p w:rsidR="00360F62" w:rsidRPr="009877AF" w:rsidRDefault="00360F62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lastRenderedPageBreak/>
        <w:t>В соответствии с Федеральным законом от 06.10.20</w:t>
      </w:r>
      <w:r w:rsidR="00DB2589" w:rsidRPr="009877AF">
        <w:rPr>
          <w:rFonts w:ascii="Times New Roman" w:hAnsi="Times New Roman"/>
        </w:rPr>
        <w:t>0</w:t>
      </w:r>
      <w:r w:rsidRPr="009877AF">
        <w:rPr>
          <w:rFonts w:ascii="Times New Roman" w:hAnsi="Times New Roman"/>
        </w:rPr>
        <w:t xml:space="preserve">3 №131-ФЗ </w:t>
      </w:r>
      <w:r w:rsidR="000678C3" w:rsidRPr="009877AF">
        <w:rPr>
          <w:rFonts w:ascii="Times New Roman" w:hAnsi="Times New Roman"/>
        </w:rPr>
        <w:br/>
      </w:r>
      <w:r w:rsidR="001E21A5" w:rsidRPr="009877AF">
        <w:rPr>
          <w:rFonts w:ascii="Times New Roman" w:hAnsi="Times New Roman"/>
        </w:rPr>
        <w:t>«</w:t>
      </w:r>
      <w:r w:rsidRPr="009877AF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1E21A5" w:rsidRPr="009877AF">
        <w:rPr>
          <w:rFonts w:ascii="Times New Roman" w:hAnsi="Times New Roman"/>
        </w:rPr>
        <w:t>»</w:t>
      </w:r>
      <w:r w:rsidRPr="009877AF">
        <w:rPr>
          <w:rFonts w:ascii="Times New Roman" w:hAnsi="Times New Roman"/>
        </w:rPr>
        <w:t xml:space="preserve"> к вопросам  местного значения относится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FD2DDD" w:rsidRPr="009877AF" w:rsidRDefault="00FD2DD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>Учитывая изложенное, в 2015 году запланировано приобретение производственной базы для ремонта, обслуживания и хранения общественного транспорта в целях создания условий для предоставления транспортных услуг населению и организации транспортного обслуживания населения города Мурманска.</w:t>
      </w:r>
    </w:p>
    <w:p w:rsidR="00FD2DDD" w:rsidRPr="009877AF" w:rsidRDefault="00FD2DD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 xml:space="preserve">По результатам выполнения указанного </w:t>
      </w:r>
      <w:r w:rsidR="00853343" w:rsidRPr="009877AF">
        <w:rPr>
          <w:rFonts w:ascii="Times New Roman" w:hAnsi="Times New Roman"/>
        </w:rPr>
        <w:t>мероприятия, производственная</w:t>
      </w:r>
      <w:r w:rsidRPr="009877AF">
        <w:rPr>
          <w:rFonts w:ascii="Times New Roman" w:hAnsi="Times New Roman"/>
        </w:rPr>
        <w:t xml:space="preserve"> база планируется к передаче в собственность ОАО</w:t>
      </w:r>
      <w:r w:rsidR="001E21A5" w:rsidRPr="009877AF">
        <w:rPr>
          <w:rFonts w:ascii="Times New Roman" w:hAnsi="Times New Roman"/>
        </w:rPr>
        <w:t>«</w:t>
      </w:r>
      <w:r w:rsidRPr="009877AF">
        <w:rPr>
          <w:rFonts w:ascii="Times New Roman" w:hAnsi="Times New Roman"/>
        </w:rPr>
        <w:t>Электротранспорт города Мурманска</w:t>
      </w:r>
      <w:r w:rsidR="001E21A5" w:rsidRPr="009877AF">
        <w:rPr>
          <w:rFonts w:ascii="Times New Roman" w:hAnsi="Times New Roman"/>
        </w:rPr>
        <w:t>»</w:t>
      </w:r>
      <w:r w:rsidRPr="009877AF">
        <w:rPr>
          <w:rFonts w:ascii="Times New Roman" w:hAnsi="Times New Roman"/>
        </w:rPr>
        <w:t xml:space="preserve"> путем увеличения уставного капитала общества. </w:t>
      </w:r>
    </w:p>
    <w:p w:rsidR="005621B8" w:rsidRPr="009877AF" w:rsidRDefault="00FD2DD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>Для осуществления мероприятий по приведению производственной базы под конкретные требования общества, предусмотрены бюджетные ассигнования на 2016 год на увеличение уставного капитала                            ОАО</w:t>
      </w:r>
      <w:r w:rsidR="001E21A5" w:rsidRPr="009877AF">
        <w:rPr>
          <w:rFonts w:ascii="Times New Roman" w:hAnsi="Times New Roman"/>
        </w:rPr>
        <w:t>«</w:t>
      </w:r>
      <w:r w:rsidRPr="009877AF">
        <w:rPr>
          <w:rFonts w:ascii="Times New Roman" w:hAnsi="Times New Roman"/>
        </w:rPr>
        <w:t>Электротранспорт города Мурманска</w:t>
      </w:r>
      <w:r w:rsidR="001E21A5" w:rsidRPr="009877AF">
        <w:rPr>
          <w:rFonts w:ascii="Times New Roman" w:hAnsi="Times New Roman"/>
        </w:rPr>
        <w:t>»</w:t>
      </w:r>
      <w:r w:rsidRPr="009877AF">
        <w:rPr>
          <w:rFonts w:ascii="Times New Roman" w:hAnsi="Times New Roman"/>
        </w:rPr>
        <w:t>.</w:t>
      </w:r>
    </w:p>
    <w:p w:rsidR="00FD2DDD" w:rsidRPr="009877AF" w:rsidRDefault="00BB72FB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>В 2016 году для организации нормальной эксплуатации автотранспортных средств, закрепленных за ММБУ</w:t>
      </w:r>
      <w:proofErr w:type="gramStart"/>
      <w:r w:rsidR="001E21A5" w:rsidRPr="009877AF">
        <w:rPr>
          <w:rFonts w:ascii="Times New Roman" w:hAnsi="Times New Roman"/>
        </w:rPr>
        <w:t>«</w:t>
      </w:r>
      <w:r w:rsidRPr="009877AF">
        <w:rPr>
          <w:rFonts w:ascii="Times New Roman" w:hAnsi="Times New Roman"/>
        </w:rPr>
        <w:t>У</w:t>
      </w:r>
      <w:proofErr w:type="gramEnd"/>
      <w:r w:rsidRPr="009877AF">
        <w:rPr>
          <w:rFonts w:ascii="Times New Roman" w:hAnsi="Times New Roman"/>
        </w:rPr>
        <w:t>правление по обеспечению деятельности органов местного самоуправления города Мурманска</w:t>
      </w:r>
      <w:r w:rsidR="001E21A5" w:rsidRPr="009877AF">
        <w:rPr>
          <w:rFonts w:ascii="Times New Roman" w:hAnsi="Times New Roman"/>
        </w:rPr>
        <w:t>»</w:t>
      </w:r>
      <w:r w:rsidRPr="009877AF">
        <w:rPr>
          <w:rFonts w:ascii="Times New Roman" w:hAnsi="Times New Roman"/>
        </w:rPr>
        <w:t>, поддержания их в технически исправном состоянии, проведения работ по техническому обслуживанию и ремонту, проведения ежедневного контроля перед выездом на линию, обеспечения стоянки, исключающей доступ к ним посторонних лиц, запланировано приобретение недвижимого имущества (помещения, строения, здания, сооружения).</w:t>
      </w:r>
    </w:p>
    <w:p w:rsidR="00BB72FB" w:rsidRPr="009877AF" w:rsidRDefault="00BB72FB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877AF">
        <w:rPr>
          <w:rFonts w:ascii="Times New Roman" w:hAnsi="Times New Roman"/>
        </w:rPr>
        <w:t xml:space="preserve">В связи с прекращением с 01.01.2017 срока действия перечня видов деятельности № 14 </w:t>
      </w:r>
      <w:r w:rsidR="001E21A5" w:rsidRPr="009877AF">
        <w:rPr>
          <w:rFonts w:ascii="Times New Roman" w:hAnsi="Times New Roman"/>
        </w:rPr>
        <w:t>«</w:t>
      </w:r>
      <w:r w:rsidRPr="009877AF">
        <w:rPr>
          <w:rFonts w:ascii="Times New Roman" w:hAnsi="Times New Roman"/>
        </w:rPr>
        <w:t>Государственные (муниципальные) услуги (работы), осуществление которых предусмотрено бюджетным законодательством Российской Федерации и не отнесенные к иным видам деятельности</w:t>
      </w:r>
      <w:r w:rsidR="001E21A5" w:rsidRPr="009877AF">
        <w:rPr>
          <w:rFonts w:ascii="Times New Roman" w:hAnsi="Times New Roman"/>
        </w:rPr>
        <w:t>»</w:t>
      </w:r>
      <w:r w:rsidRPr="009877AF">
        <w:rPr>
          <w:rFonts w:ascii="Times New Roman" w:hAnsi="Times New Roman"/>
        </w:rPr>
        <w:t xml:space="preserve"> базового (отраслевого) перечня государственных и муниципальных услуг и работ, включающий в себя работу </w:t>
      </w:r>
      <w:r w:rsidR="001E21A5" w:rsidRPr="009877AF">
        <w:rPr>
          <w:rFonts w:ascii="Times New Roman" w:hAnsi="Times New Roman"/>
        </w:rPr>
        <w:t>«</w:t>
      </w:r>
      <w:r w:rsidRPr="009877AF">
        <w:rPr>
          <w:rFonts w:ascii="Times New Roman" w:hAnsi="Times New Roman"/>
        </w:rPr>
        <w:t>Административное обеспечение деятельности организации</w:t>
      </w:r>
      <w:r w:rsidR="001E21A5" w:rsidRPr="009877AF">
        <w:rPr>
          <w:rFonts w:ascii="Times New Roman" w:hAnsi="Times New Roman"/>
        </w:rPr>
        <w:t>»</w:t>
      </w:r>
      <w:r w:rsidRPr="009877AF">
        <w:rPr>
          <w:rFonts w:ascii="Times New Roman" w:hAnsi="Times New Roman"/>
        </w:rPr>
        <w:t xml:space="preserve"> (Вид деятельности учреждения, код вида деятельности учреждения </w:t>
      </w:r>
      <w:r w:rsidR="001E21A5" w:rsidRPr="009877AF">
        <w:rPr>
          <w:rFonts w:ascii="Times New Roman" w:hAnsi="Times New Roman"/>
        </w:rPr>
        <w:t>«</w:t>
      </w:r>
      <w:r w:rsidRPr="009877AF">
        <w:rPr>
          <w:rFonts w:ascii="Times New Roman" w:hAnsi="Times New Roman"/>
        </w:rPr>
        <w:t>Государственные (муниципальные) услуги (работы), осуществление которых</w:t>
      </w:r>
      <w:proofErr w:type="gramEnd"/>
      <w:r w:rsidRPr="009877AF">
        <w:rPr>
          <w:rFonts w:ascii="Times New Roman" w:hAnsi="Times New Roman"/>
        </w:rPr>
        <w:t xml:space="preserve"> предусмотрено бюджетным законодательством Российской Федерации и не отнесенные к иным видам деятельности, 14</w:t>
      </w:r>
      <w:r w:rsidR="001E21A5" w:rsidRPr="009877AF">
        <w:rPr>
          <w:rFonts w:ascii="Times New Roman" w:hAnsi="Times New Roman"/>
        </w:rPr>
        <w:t>»</w:t>
      </w:r>
      <w:r w:rsidRPr="009877AF">
        <w:rPr>
          <w:rFonts w:ascii="Times New Roman" w:hAnsi="Times New Roman"/>
        </w:rPr>
        <w:t xml:space="preserve">, реестровый номер работы 14004100601400000000106, код работы 14.004.1), </w:t>
      </w:r>
      <w:proofErr w:type="spellStart"/>
      <w:r w:rsidRPr="009877AF">
        <w:rPr>
          <w:rFonts w:ascii="Times New Roman" w:hAnsi="Times New Roman"/>
        </w:rPr>
        <w:t>выполняемуюММБ</w:t>
      </w:r>
      <w:proofErr w:type="gramStart"/>
      <w:r w:rsidRPr="009877AF">
        <w:rPr>
          <w:rFonts w:ascii="Times New Roman" w:hAnsi="Times New Roman"/>
        </w:rPr>
        <w:t>У</w:t>
      </w:r>
      <w:proofErr w:type="spellEnd"/>
      <w:r w:rsidR="001E21A5" w:rsidRPr="009877AF">
        <w:rPr>
          <w:rFonts w:ascii="Times New Roman" w:hAnsi="Times New Roman"/>
        </w:rPr>
        <w:t>«</w:t>
      </w:r>
      <w:proofErr w:type="gramEnd"/>
      <w:r w:rsidRPr="009877AF">
        <w:rPr>
          <w:rFonts w:ascii="Times New Roman" w:hAnsi="Times New Roman"/>
        </w:rPr>
        <w:t>ЦКИМИ</w:t>
      </w:r>
      <w:r w:rsidR="001E21A5" w:rsidRPr="009877AF">
        <w:rPr>
          <w:rFonts w:ascii="Times New Roman" w:hAnsi="Times New Roman"/>
        </w:rPr>
        <w:t>»</w:t>
      </w:r>
      <w:r w:rsidRPr="009877AF">
        <w:rPr>
          <w:rFonts w:ascii="Times New Roman" w:hAnsi="Times New Roman"/>
        </w:rPr>
        <w:t>, будет изменен тип учреждения на казённое.</w:t>
      </w:r>
    </w:p>
    <w:p w:rsidR="009C2384" w:rsidRPr="009877AF" w:rsidRDefault="009C2384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proofErr w:type="gramStart"/>
      <w:r w:rsidRPr="009877AF">
        <w:rPr>
          <w:rFonts w:ascii="Times New Roman" w:hAnsi="Times New Roman"/>
          <w:color w:val="000000" w:themeColor="text1"/>
        </w:rPr>
        <w:t xml:space="preserve">Также с 01.01.2017 ММКУ «ЦКИМИ» будет наделено дополнительным полномочием – внесением, от имени муниципального образования город Мурманск,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</w:t>
      </w:r>
      <w:r w:rsidRPr="009877AF">
        <w:rPr>
          <w:rFonts w:ascii="Times New Roman" w:hAnsi="Times New Roman"/>
          <w:color w:val="000000" w:themeColor="text1"/>
        </w:rPr>
        <w:lastRenderedPageBreak/>
        <w:t>по договорам найма, а также муниципальных</w:t>
      </w:r>
      <w:proofErr w:type="gramEnd"/>
      <w:r w:rsidRPr="009877AF">
        <w:rPr>
          <w:rFonts w:ascii="Times New Roman" w:hAnsi="Times New Roman"/>
          <w:color w:val="000000" w:themeColor="text1"/>
        </w:rPr>
        <w:t xml:space="preserve"> помещений, закрепленных за муниципальными учреждениями и предприятиями на праве оперативного управления и хозяйственного ведения).</w:t>
      </w:r>
    </w:p>
    <w:p w:rsidR="000D7A5D" w:rsidRPr="009877AF" w:rsidRDefault="009C2384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  <w:color w:val="000000" w:themeColor="text1"/>
        </w:rPr>
        <w:t>Наделение ММКУ «ЦКИМИ» указанным полномочием обуславливается необходимостью исполнения муниципальным образованием город Мурманск обязанности по несению расходов, предусмотренных статьей 210 Гражданского кодекса Российской Федерации, статьями 153-155 Жилищного кодекса Российской Федерации, и исходя из положений статьи 16 Федерального закона от 06.10.2003 № 131-ФЗ «Об общих принципах организации местного самоуправления в Российской Федерации».</w:t>
      </w:r>
    </w:p>
    <w:p w:rsidR="00BB72FB" w:rsidRPr="009877AF" w:rsidRDefault="00BB72FB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 xml:space="preserve">В 2017 году запланировано </w:t>
      </w:r>
      <w:r w:rsidR="007B721D" w:rsidRPr="009877AF">
        <w:rPr>
          <w:rFonts w:ascii="Times New Roman" w:hAnsi="Times New Roman"/>
        </w:rPr>
        <w:t>приобретение, внедрение и эксплуатация автоматизированной системы управления муниципальной собственностью</w:t>
      </w:r>
      <w:r w:rsidRPr="009877AF">
        <w:rPr>
          <w:rFonts w:ascii="Times New Roman" w:hAnsi="Times New Roman"/>
        </w:rPr>
        <w:t>, обеспечивающей повышение эффективности качества управления земельно-имущественным комплексом города.</w:t>
      </w:r>
    </w:p>
    <w:p w:rsidR="00BB72FB" w:rsidRPr="009877AF" w:rsidRDefault="00BB72FB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 xml:space="preserve">Данный программный продукт </w:t>
      </w:r>
      <w:r w:rsidR="007B721D" w:rsidRPr="009877AF">
        <w:rPr>
          <w:rFonts w:ascii="Times New Roman" w:hAnsi="Times New Roman"/>
        </w:rPr>
        <w:t xml:space="preserve">будет </w:t>
      </w:r>
      <w:r w:rsidRPr="009877AF">
        <w:rPr>
          <w:rFonts w:ascii="Times New Roman" w:hAnsi="Times New Roman"/>
        </w:rPr>
        <w:t xml:space="preserve">обеспечивать единую систему учета имущественных и земельных отношений в соответствии с приказом Минэкономразвития РФ от 30.08.2011 № 424 и нормами действующего законодательства, регламентирующими иные функции </w:t>
      </w:r>
      <w:r w:rsidR="00186B97" w:rsidRPr="009877AF">
        <w:rPr>
          <w:rFonts w:ascii="Times New Roman" w:hAnsi="Times New Roman"/>
        </w:rPr>
        <w:t>КИО</w:t>
      </w:r>
      <w:r w:rsidRPr="009877AF">
        <w:rPr>
          <w:rFonts w:ascii="Times New Roman" w:hAnsi="Times New Roman"/>
        </w:rPr>
        <w:t>, что позволит повысить качество автоматизации процесса по сбору и обработке информации, а также процесса по разработке и реализации принимаемых управленческих решений.</w:t>
      </w:r>
    </w:p>
    <w:p w:rsidR="00DD0740" w:rsidRPr="00CA1FF8" w:rsidRDefault="00CA1FF8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CA1FF8">
        <w:rPr>
          <w:rFonts w:ascii="Times New Roman" w:hAnsi="Times New Roman"/>
        </w:rPr>
        <w:t>В 2017 году запланировано предоставление субсидии Мурманскому муниципальному унитарному предприятию «Центр временного содержания животных» для приобретения крематора для сжигания биологических отходов».</w:t>
      </w:r>
    </w:p>
    <w:p w:rsidR="00CA1FF8" w:rsidRPr="009877AF" w:rsidRDefault="00CA1FF8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2. Основные цели и задачи ВЦП, целевые показатели (индикаторы) реализации ВЦП</w:t>
      </w:r>
    </w:p>
    <w:p w:rsidR="000678C3" w:rsidRPr="009877AF" w:rsidRDefault="000678C3" w:rsidP="00B872B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/>
      </w:tblPr>
      <w:tblGrid>
        <w:gridCol w:w="484"/>
        <w:gridCol w:w="2584"/>
        <w:gridCol w:w="584"/>
        <w:gridCol w:w="1188"/>
        <w:gridCol w:w="1092"/>
        <w:gridCol w:w="628"/>
        <w:gridCol w:w="628"/>
        <w:gridCol w:w="628"/>
        <w:gridCol w:w="628"/>
        <w:gridCol w:w="628"/>
        <w:gridCol w:w="622"/>
      </w:tblGrid>
      <w:tr w:rsidR="00B259E0" w:rsidRPr="009877AF" w:rsidTr="00987488">
        <w:trPr>
          <w:trHeight w:val="275"/>
          <w:tblHeader/>
          <w:tblCellSpacing w:w="5" w:type="nil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9877AF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259E0" w:rsidRPr="009877AF" w:rsidTr="00987488">
        <w:trPr>
          <w:trHeight w:val="250"/>
          <w:tblHeader/>
          <w:tblCellSpacing w:w="5" w:type="nil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4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9877AF" w:rsidRDefault="0008601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Годы реализации ВЦП</w:t>
            </w:r>
          </w:p>
        </w:tc>
      </w:tr>
      <w:tr w:rsidR="002349BF" w:rsidRPr="009877AF" w:rsidTr="00987488">
        <w:trPr>
          <w:trHeight w:val="250"/>
          <w:tblHeader/>
          <w:tblCellSpacing w:w="5" w:type="nil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49BF" w:rsidRPr="009877AF" w:rsidTr="00987488">
        <w:trPr>
          <w:trHeight w:val="98"/>
          <w:tblHeader/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49BF" w:rsidRPr="009877AF" w:rsidTr="00987488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приобретения и использования имущества в целях решения вопросов местного значения</w:t>
            </w:r>
          </w:p>
        </w:tc>
      </w:tr>
      <w:tr w:rsidR="002349BF" w:rsidRPr="009877AF" w:rsidTr="00987488">
        <w:trPr>
          <w:trHeight w:val="320"/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9877AF" w:rsidRDefault="002349B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23954" w:rsidRPr="009877AF" w:rsidTr="00987488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4" w:rsidRPr="009877AF" w:rsidRDefault="00923954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4" w:rsidRPr="009877AF" w:rsidRDefault="00923954" w:rsidP="00B872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987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обследованных объектов муниципального имущества (помещений и земельных участков), по </w:t>
            </w:r>
            <w:proofErr w:type="gramStart"/>
            <w:r w:rsidRPr="00987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результатам</w:t>
            </w:r>
            <w:proofErr w:type="gramEnd"/>
            <w:r w:rsidRPr="00987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проверки которых предоставлены сведения в комитет имущественных отношений города Мурманска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4" w:rsidRPr="009877AF" w:rsidRDefault="00923954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4" w:rsidRPr="009877AF" w:rsidRDefault="00923954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4" w:rsidRPr="009877AF" w:rsidRDefault="00923954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4" w:rsidRPr="009877AF" w:rsidRDefault="00923954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1430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4" w:rsidRPr="009877AF" w:rsidRDefault="00923954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1760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4" w:rsidRPr="009877AF" w:rsidRDefault="00923954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1930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4" w:rsidRPr="009877AF" w:rsidRDefault="00923954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2330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4" w:rsidRPr="009877AF" w:rsidRDefault="00923954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877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1570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54" w:rsidRPr="009877AF" w:rsidRDefault="00923954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877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1570</w:t>
            </w:r>
          </w:p>
        </w:tc>
      </w:tr>
    </w:tbl>
    <w:p w:rsidR="000A55FA" w:rsidRPr="009877AF" w:rsidRDefault="000A55FA" w:rsidP="00B872B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3. Перечень основных мероприятий ВЦП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Главным распорядителем бюджетных средств по ВЦП является комитет имущественных отношений города Мурманска. 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Перечень основных программных мероприятий и показателей результативности их выполнения приведен в приложении </w:t>
      </w:r>
      <w:proofErr w:type="gramStart"/>
      <w:r w:rsidRPr="009877AF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9877AF">
        <w:rPr>
          <w:rFonts w:ascii="Times New Roman" w:hAnsi="Times New Roman" w:cs="Times New Roman"/>
          <w:bCs/>
          <w:sz w:val="28"/>
          <w:szCs w:val="28"/>
        </w:rPr>
        <w:t xml:space="preserve"> настоящей ВЦП.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ВЦП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01D" w:rsidRPr="009877AF" w:rsidRDefault="0008601D" w:rsidP="00B872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>Финансирование ВЦП планируется осуществлять за счет средств бюджета муниципального образования город Мурманск и внебюджетных средств.</w:t>
      </w:r>
    </w:p>
    <w:p w:rsidR="0008601D" w:rsidRPr="009877AF" w:rsidRDefault="0008601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877AF">
        <w:rPr>
          <w:rFonts w:ascii="Times New Roman" w:hAnsi="Times New Roman"/>
        </w:rPr>
        <w:t>Расчет объема финансовых средств, необходимых для реализации ВЦП в части приобретения жилых помещений с целью пополнения муниципального специализированного жилищного фонда произведен с использованием стоимости одного квадратного метра общей площади благоустроенного жилья на рынке недвижимости города Мурманска, установленной на основании официальных данных Территориального органа Федеральной службы государственной статистики по Мурманской области (</w:t>
      </w:r>
      <w:proofErr w:type="spellStart"/>
      <w:r w:rsidRPr="009877AF">
        <w:rPr>
          <w:rFonts w:ascii="Times New Roman" w:hAnsi="Times New Roman"/>
        </w:rPr>
        <w:t>Мурманскстат</w:t>
      </w:r>
      <w:proofErr w:type="spellEnd"/>
      <w:r w:rsidRPr="009877AF">
        <w:rPr>
          <w:rFonts w:ascii="Times New Roman" w:hAnsi="Times New Roman"/>
        </w:rPr>
        <w:t>) о средней цене за один квадратный метр общей площади</w:t>
      </w:r>
      <w:proofErr w:type="gramEnd"/>
      <w:r w:rsidRPr="009877AF">
        <w:rPr>
          <w:rFonts w:ascii="Times New Roman" w:hAnsi="Times New Roman"/>
        </w:rPr>
        <w:t xml:space="preserve"> квартир на вторичном рынке жилья в городе Мурманске в 1 и 2 квартале 2015 года.</w:t>
      </w:r>
    </w:p>
    <w:p w:rsidR="0008601D" w:rsidRPr="009877AF" w:rsidRDefault="0008601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>Для определения объема финансовых средств, необходимых для реализации ВЦП в части приобретения жилых помещений, стоимость одного квадратного метра общей площади благоустроенного жилья установлена в размере 55,0 тыс. руб.</w:t>
      </w:r>
    </w:p>
    <w:p w:rsidR="0008601D" w:rsidRPr="009877AF" w:rsidRDefault="0008601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 xml:space="preserve">При этом 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</w:t>
      </w:r>
      <w:r w:rsidRPr="009877AF">
        <w:rPr>
          <w:rFonts w:ascii="Times New Roman" w:hAnsi="Times New Roman"/>
        </w:rPr>
        <w:lastRenderedPageBreak/>
        <w:t>реализации ВЦП установлена в размере:</w:t>
      </w:r>
    </w:p>
    <w:p w:rsidR="0008601D" w:rsidRPr="009877AF" w:rsidRDefault="0008601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>- при приобретении жилых помещений путем участия в долевом строительстве</w:t>
      </w:r>
      <w:r w:rsidR="00B81FFE" w:rsidRPr="009877AF">
        <w:rPr>
          <w:rFonts w:ascii="Times New Roman" w:hAnsi="Times New Roman"/>
        </w:rPr>
        <w:t>–</w:t>
      </w:r>
      <w:r w:rsidRPr="009877AF">
        <w:rPr>
          <w:rFonts w:ascii="Times New Roman" w:hAnsi="Times New Roman"/>
        </w:rPr>
        <w:t>55,0 тыс. руб.;</w:t>
      </w:r>
    </w:p>
    <w:p w:rsidR="0008601D" w:rsidRPr="009877AF" w:rsidRDefault="0008601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>- при приобретении жилых помещений на первичном рынке жилья</w:t>
      </w:r>
      <w:r w:rsidR="004E4EE5" w:rsidRPr="009877AF">
        <w:rPr>
          <w:rFonts w:ascii="Times New Roman" w:hAnsi="Times New Roman"/>
        </w:rPr>
        <w:br/>
        <w:t>–</w:t>
      </w:r>
      <w:r w:rsidRPr="009877AF">
        <w:rPr>
          <w:rFonts w:ascii="Times New Roman" w:hAnsi="Times New Roman"/>
        </w:rPr>
        <w:t>55,0 тыс. руб.;</w:t>
      </w:r>
    </w:p>
    <w:p w:rsidR="0008601D" w:rsidRPr="009877AF" w:rsidRDefault="0008601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r w:rsidRPr="009877AF">
        <w:rPr>
          <w:rFonts w:ascii="Times New Roman" w:hAnsi="Times New Roman"/>
        </w:rPr>
        <w:t>- при приобретении жилых помещений на вторичном рынке жилья</w:t>
      </w:r>
      <w:r w:rsidR="00E437FB" w:rsidRPr="009877AF">
        <w:rPr>
          <w:rFonts w:ascii="Times New Roman" w:hAnsi="Times New Roman"/>
        </w:rPr>
        <w:t>-</w:t>
      </w:r>
      <w:r w:rsidRPr="009877AF">
        <w:rPr>
          <w:rFonts w:ascii="Times New Roman" w:hAnsi="Times New Roman"/>
        </w:rPr>
        <w:t xml:space="preserve">не более 55,0 тыс. руб.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</w:t>
      </w:r>
      <w:hyperlink r:id="rId8" w:history="1">
        <w:r w:rsidRPr="009877AF">
          <w:rPr>
            <w:rFonts w:ascii="Times New Roman" w:hAnsi="Times New Roman"/>
          </w:rPr>
          <w:t>статьей 22</w:t>
        </w:r>
      </w:hyperlink>
      <w:r w:rsidRPr="009877AF">
        <w:rPr>
          <w:rFonts w:ascii="Times New Roman" w:hAnsi="Times New Roman"/>
        </w:rPr>
        <w:t xml:space="preserve"> Федеральног</w:t>
      </w:r>
      <w:r w:rsidR="00586665" w:rsidRPr="009877AF">
        <w:rPr>
          <w:rFonts w:ascii="Times New Roman" w:hAnsi="Times New Roman"/>
        </w:rPr>
        <w:t xml:space="preserve">о закона от 05.04.2013 № 44-ФЗ </w:t>
      </w:r>
      <w:r w:rsidR="001E21A5" w:rsidRPr="009877AF">
        <w:rPr>
          <w:rFonts w:ascii="Times New Roman" w:hAnsi="Times New Roman"/>
        </w:rPr>
        <w:t>«</w:t>
      </w:r>
      <w:r w:rsidRPr="009877AF">
        <w:rPr>
          <w:rFonts w:ascii="Times New Roman" w:hAnsi="Times New Roman"/>
        </w:rPr>
        <w:t>О контрактной системе в сфере закупок товаров, работ, услуг для обеспечения госуда</w:t>
      </w:r>
      <w:r w:rsidR="00586665" w:rsidRPr="009877AF">
        <w:rPr>
          <w:rFonts w:ascii="Times New Roman" w:hAnsi="Times New Roman"/>
        </w:rPr>
        <w:t>рственных и муниципальных нужд</w:t>
      </w:r>
      <w:proofErr w:type="gramStart"/>
      <w:r w:rsidR="001E21A5" w:rsidRPr="009877AF">
        <w:rPr>
          <w:rFonts w:ascii="Times New Roman" w:hAnsi="Times New Roman"/>
        </w:rPr>
        <w:t>»</w:t>
      </w:r>
      <w:r w:rsidRPr="009877AF">
        <w:rPr>
          <w:rFonts w:ascii="Times New Roman" w:hAnsi="Times New Roman"/>
        </w:rPr>
        <w:t>(</w:t>
      </w:r>
      <w:proofErr w:type="gramEnd"/>
      <w:r w:rsidRPr="009877AF">
        <w:rPr>
          <w:rFonts w:ascii="Times New Roman" w:hAnsi="Times New Roman"/>
        </w:rPr>
        <w:t>далее</w:t>
      </w:r>
      <w:r w:rsidR="00E437FB" w:rsidRPr="009877AF">
        <w:rPr>
          <w:rFonts w:ascii="Times New Roman" w:hAnsi="Times New Roman"/>
        </w:rPr>
        <w:t>-</w:t>
      </w:r>
      <w:r w:rsidRPr="009877AF">
        <w:rPr>
          <w:rFonts w:ascii="Times New Roman" w:hAnsi="Times New Roman"/>
        </w:rPr>
        <w:t>Закон44-ФЗ).</w:t>
      </w:r>
    </w:p>
    <w:p w:rsidR="0008601D" w:rsidRPr="009877AF" w:rsidRDefault="0008601D" w:rsidP="00B872B8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877AF">
        <w:rPr>
          <w:rFonts w:ascii="Times New Roman" w:hAnsi="Times New Roman"/>
        </w:rPr>
        <w:t xml:space="preserve">Формирование начальной (максимальной) цены муниципального контракта (цены лота) при приобретении жилых помещений в процессе реализации настоящей ВЦП, в том числе путем участия в долевом строительстве, осуществляется путем умножения расчетной стоимости одного квадратного метра общей площади благоустроенного жилья, установленной ВЦП или определенной в соответствии с требованиями </w:t>
      </w:r>
      <w:hyperlink r:id="rId9" w:history="1">
        <w:r w:rsidR="00151320" w:rsidRPr="009877AF">
          <w:rPr>
            <w:rFonts w:ascii="Times New Roman" w:hAnsi="Times New Roman"/>
          </w:rPr>
          <w:t>Зако</w:t>
        </w:r>
        <w:r w:rsidRPr="009877AF">
          <w:rPr>
            <w:rFonts w:ascii="Times New Roman" w:hAnsi="Times New Roman"/>
          </w:rPr>
          <w:t>на</w:t>
        </w:r>
      </w:hyperlink>
      <w:r w:rsidRPr="009877AF">
        <w:rPr>
          <w:rFonts w:ascii="Times New Roman" w:hAnsi="Times New Roman"/>
        </w:rPr>
        <w:t xml:space="preserve"> 44-ФЗ, на общую площадь жилого помещения, которое требуется приобрести.</w:t>
      </w:r>
      <w:proofErr w:type="gramEnd"/>
    </w:p>
    <w:p w:rsidR="0008601D" w:rsidRPr="009877AF" w:rsidRDefault="0008601D" w:rsidP="00B872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 xml:space="preserve">В случае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(цены лота) осуществляется по максимальной площади. </w:t>
      </w:r>
      <w:proofErr w:type="gramStart"/>
      <w:r w:rsidRPr="009877AF">
        <w:rPr>
          <w:rFonts w:ascii="Times New Roman" w:hAnsi="Times New Roman" w:cs="Times New Roman"/>
          <w:sz w:val="28"/>
          <w:szCs w:val="28"/>
        </w:rPr>
        <w:t>При этом цена муниципального контракта (цена лота),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</w:t>
      </w:r>
      <w:proofErr w:type="gramEnd"/>
      <w:r w:rsidRPr="009877AF">
        <w:rPr>
          <w:rFonts w:ascii="Times New Roman" w:hAnsi="Times New Roman" w:cs="Times New Roman"/>
          <w:sz w:val="28"/>
          <w:szCs w:val="28"/>
        </w:rPr>
        <w:t xml:space="preserve"> итогам процедуры определения поставщика (подрядчика, исполни</w:t>
      </w:r>
      <w:r w:rsidR="006C0CF4" w:rsidRPr="009877AF">
        <w:rPr>
          <w:rFonts w:ascii="Times New Roman" w:hAnsi="Times New Roman" w:cs="Times New Roman"/>
          <w:sz w:val="28"/>
          <w:szCs w:val="28"/>
        </w:rPr>
        <w:t>теля).</w:t>
      </w:r>
    </w:p>
    <w:p w:rsidR="005D3148" w:rsidRPr="009877AF" w:rsidRDefault="005D3148" w:rsidP="00B872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009"/>
        <w:gridCol w:w="1264"/>
        <w:gridCol w:w="1006"/>
        <w:gridCol w:w="1088"/>
        <w:gridCol w:w="1110"/>
        <w:gridCol w:w="1233"/>
        <w:gridCol w:w="958"/>
        <w:gridCol w:w="1084"/>
      </w:tblGrid>
      <w:tr w:rsidR="00923954" w:rsidRPr="009877AF" w:rsidTr="005D3148">
        <w:trPr>
          <w:cantSplit/>
          <w:trHeight w:val="20"/>
          <w:tblHeader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Источник финансирования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Всего, тыс. руб.</w:t>
            </w:r>
          </w:p>
        </w:tc>
        <w:tc>
          <w:tcPr>
            <w:tcW w:w="3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В том числе по годам реализации, тыс. руб.</w:t>
            </w:r>
          </w:p>
        </w:tc>
      </w:tr>
      <w:tr w:rsidR="00923954" w:rsidRPr="009877AF" w:rsidTr="00923954">
        <w:trPr>
          <w:cantSplit/>
          <w:trHeight w:val="20"/>
          <w:tblHeader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2014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2015 год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2016 год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2017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2018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2019 год</w:t>
            </w:r>
          </w:p>
        </w:tc>
      </w:tr>
      <w:tr w:rsidR="00923954" w:rsidRPr="009877AF" w:rsidTr="00923954">
        <w:trPr>
          <w:cantSplit/>
          <w:trHeight w:val="20"/>
          <w:tblHeader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8</w:t>
            </w:r>
          </w:p>
        </w:tc>
      </w:tr>
      <w:tr w:rsidR="00987488" w:rsidRPr="009877AF" w:rsidTr="00923954">
        <w:trPr>
          <w:cantSplit/>
          <w:trHeight w:val="2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7AF" w:rsidRDefault="00987488" w:rsidP="00B872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Всего по ВЦП: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48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928 149,3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48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162 269,9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48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286 956,6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48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78 008,3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48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209 172,7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48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95 943,9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48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95 797,9</w:t>
            </w:r>
          </w:p>
        </w:tc>
      </w:tr>
      <w:tr w:rsidR="00987488" w:rsidRPr="009877AF" w:rsidTr="005D3148">
        <w:trPr>
          <w:cantSplit/>
          <w:trHeight w:val="1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в том числе за счет:</w:t>
            </w:r>
          </w:p>
        </w:tc>
      </w:tr>
      <w:tr w:rsidR="00987488" w:rsidRPr="009877AF" w:rsidTr="00923954">
        <w:trPr>
          <w:cantSplit/>
          <w:trHeight w:val="1194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7AF" w:rsidRDefault="00987488" w:rsidP="00B872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48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928 149,3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48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162 269,9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48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286 956,6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48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78 008,3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48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209 172,7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48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95 943,9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88" w:rsidRPr="00987488" w:rsidRDefault="00987488" w:rsidP="00B872B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987488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95 797,9</w:t>
            </w:r>
          </w:p>
        </w:tc>
      </w:tr>
      <w:tr w:rsidR="00923954" w:rsidRPr="009877AF" w:rsidTr="00923954">
        <w:trPr>
          <w:cantSplit/>
          <w:trHeight w:val="2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средств областного бюджета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</w:tr>
      <w:tr w:rsidR="00923954" w:rsidRPr="009877AF" w:rsidTr="00923954">
        <w:trPr>
          <w:cantSplit/>
          <w:trHeight w:val="2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средств федерального бюджета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</w:tr>
      <w:tr w:rsidR="00923954" w:rsidRPr="009877AF" w:rsidTr="00923954">
        <w:trPr>
          <w:cantSplit/>
          <w:trHeight w:val="2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lastRenderedPageBreak/>
              <w:t>внебюджетных средств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54" w:rsidRPr="009877AF" w:rsidRDefault="00923954" w:rsidP="00B872B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2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lang w:eastAsia="ru-RU"/>
              </w:rPr>
              <w:t>-</w:t>
            </w:r>
          </w:p>
        </w:tc>
      </w:tr>
    </w:tbl>
    <w:p w:rsidR="000678C3" w:rsidRPr="009877AF" w:rsidRDefault="000678C3" w:rsidP="00B872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В ходе реализации ВЦП перечень мероприятий и объем их финансирования могут изменяться.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5. Оценка эффективности ВЦП, рисков ее реализации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77AF">
        <w:rPr>
          <w:rFonts w:ascii="Times New Roman" w:hAnsi="Times New Roman" w:cs="Times New Roman"/>
          <w:bCs/>
          <w:sz w:val="28"/>
          <w:szCs w:val="28"/>
        </w:rPr>
        <w:t>В рамках реализации ВЦП будет проведена оценка рыночной стоимости имущества и изготовление технической документации на недвижимое имущество, что позволит рационально использовать и вовлекать в хозяйственный оборот муниципальное имущество, в результате чего увеличится объем доходов бюджета муниципального образования город Мурманск, а также позволит повысить достоверность базы данных реестра муниципального имущества города Мурманска, осуществить государственную регистрацию прав на объекты муниципального недвижимого имущества</w:t>
      </w:r>
      <w:proofErr w:type="gramEnd"/>
      <w:r w:rsidRPr="009877AF">
        <w:rPr>
          <w:rFonts w:ascii="Times New Roman" w:hAnsi="Times New Roman" w:cs="Times New Roman"/>
          <w:bCs/>
          <w:sz w:val="28"/>
          <w:szCs w:val="28"/>
        </w:rPr>
        <w:t xml:space="preserve"> и соответственно даст возможность более рационально использовать и вовлекать в хозяйственный оборот муниципальное имущество.</w:t>
      </w:r>
    </w:p>
    <w:p w:rsidR="004A251A" w:rsidRPr="009877AF" w:rsidRDefault="004A251A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>Осуществление ММБУ «ЦКИМИ», а с 01.01.2017 – ММКУ «ЦКИМИ» возложенных на него задач в рамках реализации настоящей ВЦП позволит достичь повышения эффективности использования муниципального имущества города Мурманск.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>Внешние риски ВЦП: изменения федерального и/или регионального законодательства.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7AF">
        <w:rPr>
          <w:rFonts w:ascii="Times New Roman" w:hAnsi="Times New Roman" w:cs="Times New Roman"/>
          <w:sz w:val="28"/>
          <w:szCs w:val="28"/>
        </w:rPr>
        <w:t>Внутренние риски ВЦП: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08601D" w:rsidRPr="009877AF" w:rsidRDefault="0008601D" w:rsidP="00B872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7AF">
        <w:rPr>
          <w:rFonts w:ascii="Times New Roman" w:hAnsi="Times New Roman" w:cs="Times New Roman"/>
          <w:sz w:val="28"/>
          <w:szCs w:val="28"/>
        </w:rPr>
        <w:t>Одним из внутренних рисков реализации ВЦП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  <w:proofErr w:type="gramEnd"/>
    </w:p>
    <w:p w:rsidR="0008601D" w:rsidRPr="009877AF" w:rsidRDefault="0008601D" w:rsidP="00B872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lastRenderedPageBreak/>
        <w:t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08601D" w:rsidRPr="009877AF" w:rsidRDefault="0008601D" w:rsidP="00B872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>С другой стороны, отсутствие заявок на участие в торгах может объясняться невысокой стоимостью 1 кв. м общей площади приобретаемых жилых помещений в соответствии с ВЦП, применяемой для расчета начальной (максимальной) цены контракта (цены лота) при проведении торгов исходя из требуемой площади закупаемого жилого помещения.</w:t>
      </w:r>
    </w:p>
    <w:p w:rsidR="0008601D" w:rsidRPr="009877AF" w:rsidRDefault="0008601D" w:rsidP="00B872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>Минимизировать внутренние риски возможно более тщательным 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закупок, а также своевременным внесением изменений в ВЦП в отношении стоимости 1 кв. м общей площади приобретаемых жилых помещений.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закупок.</w:t>
      </w:r>
    </w:p>
    <w:p w:rsidR="0008601D" w:rsidRPr="009877AF" w:rsidRDefault="0008601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>Планирование мероприятий ВЦП и объемов финансирования приведет к минимуму финансовых, организационных и иных рисков.</w:t>
      </w:r>
    </w:p>
    <w:p w:rsidR="004A251A" w:rsidRPr="009877AF" w:rsidRDefault="004A251A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7AF">
        <w:rPr>
          <w:rFonts w:ascii="Times New Roman" w:hAnsi="Times New Roman" w:cs="Times New Roman"/>
          <w:sz w:val="28"/>
          <w:szCs w:val="28"/>
        </w:rPr>
        <w:t>При реализации внесения, от имени муниципального образования город Мурманск,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</w:t>
      </w:r>
      <w:proofErr w:type="gramEnd"/>
      <w:r w:rsidRPr="009877AF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и хозяйственного ведения) к внутренним рискам следует отнести:</w:t>
      </w:r>
    </w:p>
    <w:p w:rsidR="004A251A" w:rsidRPr="009877AF" w:rsidRDefault="004A251A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>- риски изменения объемов в связи с изменением объемов расходных обязательств муниципального образования город Мурманск;</w:t>
      </w:r>
    </w:p>
    <w:p w:rsidR="004A251A" w:rsidRPr="009877AF" w:rsidRDefault="004A251A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 xml:space="preserve">- риски, связанные с предоставлением уполномоченными юридическими лицами, оказывающими подлежащие оплате услуги, недостоверной информации, требующей доработки и корректировки выставленных счетов. </w:t>
      </w:r>
    </w:p>
    <w:p w:rsidR="00585AFD" w:rsidRPr="009877AF" w:rsidRDefault="004A251A" w:rsidP="00B872B8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585AFD" w:rsidRPr="009877AF" w:rsidSect="00EE5216">
          <w:headerReference w:type="default" r:id="rId10"/>
          <w:headerReference w:type="firs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9877AF">
        <w:rPr>
          <w:rFonts w:ascii="Times New Roman" w:hAnsi="Times New Roman" w:cs="Times New Roman"/>
          <w:sz w:val="28"/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 в части перераспределения средств.</w:t>
      </w:r>
    </w:p>
    <w:p w:rsidR="00151320" w:rsidRPr="009877AF" w:rsidRDefault="00151320" w:rsidP="00B872B8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ВЦП</w:t>
      </w:r>
    </w:p>
    <w:p w:rsidR="002E26F4" w:rsidRPr="009877AF" w:rsidRDefault="002E26F4" w:rsidP="00B872B8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20" w:rsidRPr="009877AF" w:rsidRDefault="00151320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мероприятий ВЦП</w:t>
      </w:r>
    </w:p>
    <w:p w:rsidR="00591731" w:rsidRPr="009877AF" w:rsidRDefault="00591731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20" w:rsidRPr="009877AF" w:rsidRDefault="00151320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основных мероприятий ВЦП на 2014</w:t>
      </w:r>
      <w:r w:rsidR="00E437FB"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годы</w:t>
      </w:r>
    </w:p>
    <w:p w:rsidR="00151320" w:rsidRPr="009877AF" w:rsidRDefault="00151320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75"/>
        <w:gridCol w:w="3267"/>
        <w:gridCol w:w="912"/>
        <w:gridCol w:w="1062"/>
        <w:gridCol w:w="1037"/>
        <w:gridCol w:w="1040"/>
        <w:gridCol w:w="1084"/>
        <w:gridCol w:w="3558"/>
        <w:gridCol w:w="610"/>
        <w:gridCol w:w="613"/>
        <w:gridCol w:w="1956"/>
      </w:tblGrid>
      <w:tr w:rsidR="00A901DA" w:rsidRPr="009877AF" w:rsidTr="00763842">
        <w:trPr>
          <w:cantSplit/>
          <w:trHeight w:val="20"/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Цель, задачи, основные мероприятия   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="006C0CF4"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</w:t>
            </w:r>
            <w:r w:rsidR="000678C3"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C0CF4"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(квартал, год)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6C0CF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</w:t>
            </w:r>
            <w:r w:rsidR="000678C3"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сирова</w:t>
            </w:r>
            <w:r w:rsidR="00A901DA"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Объемы финансирования, тыс. руб. 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A901DA" w:rsidRPr="009877AF" w:rsidTr="00763842">
        <w:trPr>
          <w:cantSplit/>
          <w:trHeight w:val="20"/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01DA" w:rsidRPr="009877AF" w:rsidTr="00763842">
        <w:trPr>
          <w:cantSplit/>
          <w:trHeight w:val="20"/>
          <w:tblHeader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901DA" w:rsidRPr="009877AF" w:rsidTr="00763842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создание условий для приобретения и использования имущества в целях решения вопросов местного значения</w:t>
            </w:r>
          </w:p>
        </w:tc>
      </w:tr>
      <w:tr w:rsidR="00A901DA" w:rsidRPr="009877AF" w:rsidTr="00763842">
        <w:trPr>
          <w:cantSplit/>
          <w:trHeight w:val="887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2E26F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1 110,0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A901DA" w:rsidRPr="009877AF" w:rsidTr="00763842">
        <w:trPr>
          <w:cantSplit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4 459,4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2E26F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4 755,8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A901DA" w:rsidRPr="009877AF" w:rsidTr="00763842">
        <w:trPr>
          <w:cantSplit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фактического обследования имущества и технической работы, направленной на повышение эффективности его использования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67 101,6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2E26F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26 760,5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</w:t>
            </w:r>
            <w:r w:rsidR="002E26F4"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работ, выполненных в целях повышения эффективности использования муниципального имущества и земельных участков, 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ЦКИМИ</w:t>
            </w:r>
          </w:p>
        </w:tc>
      </w:tr>
      <w:tr w:rsidR="00A901DA" w:rsidRPr="009877AF" w:rsidTr="00763842">
        <w:trPr>
          <w:cantSplit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уставных капиталов открытых акционерных обществ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294 899,7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2E26F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  <w:r w:rsidR="002E26F4"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899,7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открытых акционерных обществ, в отношении которых произведена процедура увеличения уставного капитала, 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A901DA" w:rsidRPr="009877AF" w:rsidTr="00763842">
        <w:trPr>
          <w:cantSplit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</w:t>
            </w:r>
            <w:proofErr w:type="gramStart"/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A901DA" w:rsidRPr="009877AF" w:rsidTr="00763842">
        <w:trPr>
          <w:cantSplit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процедуры формирования (увеличения) уставных фондов муниципальных унитарных предприятий города Мурманска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унитарных предприятий города Мурманска, в отношении которых произведена процедура формирования (увеличения) уставного фонда, 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A901DA" w:rsidRPr="009877AF" w:rsidTr="00763842">
        <w:trPr>
          <w:cantSplit/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производственной базы для ремонта, обслуживания и хранения общественного транспорта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45 200,0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45 200,0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приобретенных производственных баз для ремонта, обслуживания и хранения общественного транспорта, 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A901DA" w:rsidRPr="009877AF" w:rsidTr="00763842">
        <w:trPr>
          <w:cantSplit/>
          <w:trHeight w:val="63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449 226,5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162 269,9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286 956,6</w:t>
            </w:r>
          </w:p>
        </w:tc>
        <w:tc>
          <w:tcPr>
            <w:tcW w:w="2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DA" w:rsidRPr="009877AF" w:rsidRDefault="00A901D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D3148" w:rsidRDefault="005D3148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E9" w:rsidRPr="009877AF" w:rsidRDefault="007364E9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20" w:rsidRPr="009877AF" w:rsidRDefault="00151320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Перечень основных мероприятий на </w:t>
      </w:r>
      <w:r w:rsidR="006E6157"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2016-2019</w:t>
      </w:r>
      <w:r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51320" w:rsidRDefault="00151320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13"/>
        <w:gridCol w:w="3180"/>
        <w:gridCol w:w="940"/>
        <w:gridCol w:w="927"/>
        <w:gridCol w:w="760"/>
        <w:gridCol w:w="844"/>
        <w:gridCol w:w="884"/>
        <w:gridCol w:w="801"/>
        <w:gridCol w:w="804"/>
        <w:gridCol w:w="2958"/>
        <w:gridCol w:w="442"/>
        <w:gridCol w:w="442"/>
        <w:gridCol w:w="470"/>
        <w:gridCol w:w="442"/>
        <w:gridCol w:w="1147"/>
      </w:tblGrid>
      <w:tr w:rsidR="00763842" w:rsidRPr="00320436" w:rsidTr="00763842">
        <w:trPr>
          <w:cantSplit/>
          <w:trHeight w:val="68"/>
          <w:tblHeader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финансирования, тыс. руб.</w:t>
            </w:r>
          </w:p>
        </w:tc>
        <w:tc>
          <w:tcPr>
            <w:tcW w:w="15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Исполнители, перечень организаций, участвующих в реализации основных мероприятий </w:t>
            </w:r>
          </w:p>
        </w:tc>
      </w:tr>
      <w:tr w:rsidR="00763842" w:rsidRPr="00320436" w:rsidTr="00763842">
        <w:trPr>
          <w:cantSplit/>
          <w:trHeight w:val="1198"/>
          <w:tblHeader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Наименование, ед. измерения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3842" w:rsidRPr="00320436" w:rsidTr="00763842">
        <w:trPr>
          <w:cantSplit/>
          <w:trHeight w:val="88"/>
          <w:tblHeader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63842" w:rsidRPr="00320436" w:rsidTr="00763842">
        <w:trPr>
          <w:cantSplit/>
          <w:trHeight w:val="6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Цель: создание условий для приобретения и использования имущества в целях решения вопросов местного значения</w:t>
            </w:r>
          </w:p>
        </w:tc>
      </w:tr>
      <w:tr w:rsidR="00763842" w:rsidRPr="00320436" w:rsidTr="00763842">
        <w:trPr>
          <w:cantSplit/>
          <w:trHeight w:val="66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2016 - 2019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380 442,8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63 008,3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181 012,7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68 283,9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68 137,9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</w:t>
            </w:r>
          </w:p>
        </w:tc>
      </w:tr>
      <w:tr w:rsidR="00763842" w:rsidRPr="00320436" w:rsidTr="00763842">
        <w:trPr>
          <w:cantSplit/>
          <w:trHeight w:val="684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380 442,8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63 008,3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181 012,7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68 283,9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68 137,9</w:t>
            </w: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3842" w:rsidRPr="00320436" w:rsidTr="00763842">
        <w:trPr>
          <w:cantSplit/>
          <w:trHeight w:val="1032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связанные с обеспечением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2016 - 2019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5 322,1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1 784,1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930,0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КИО, конкурсный отбор</w:t>
            </w:r>
          </w:p>
        </w:tc>
      </w:tr>
      <w:tr w:rsidR="00763842" w:rsidRPr="00320436" w:rsidTr="00763842">
        <w:trPr>
          <w:cantSplit/>
          <w:trHeight w:val="206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5 322,1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1 784,1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930,0</w:t>
            </w: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3842" w:rsidRPr="00320436" w:rsidTr="00763842">
        <w:trPr>
          <w:cantSplit/>
          <w:trHeight w:val="66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связанные с обеспечением изготовления технической документации на объекты недвижимости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2016 - 2019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17 570,2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4 468,6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2 460,5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5 309,3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5 331,8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КИО, конкурсный отбор</w:t>
            </w:r>
          </w:p>
        </w:tc>
      </w:tr>
      <w:tr w:rsidR="00763842" w:rsidRPr="00320436" w:rsidTr="00763842">
        <w:trPr>
          <w:cantSplit/>
          <w:trHeight w:val="66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17 570,2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4 468,6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2 460,5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5 309,3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5 331,8</w:t>
            </w: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3842" w:rsidRPr="00320436" w:rsidTr="00763842">
        <w:trPr>
          <w:cantSplit/>
          <w:trHeight w:val="828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42 978,3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42 978,3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работ, выполненных в целях повышения эффективности использования муниципального имущества и земельных участков, ед.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КИО,         ЦКИМИ</w:t>
            </w:r>
          </w:p>
        </w:tc>
      </w:tr>
      <w:tr w:rsidR="00763842" w:rsidRPr="00320436" w:rsidTr="00763842">
        <w:trPr>
          <w:cantSplit/>
          <w:trHeight w:val="274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42 978,3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42 978,3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3842" w:rsidRPr="00320436" w:rsidTr="00763842">
        <w:trPr>
          <w:cantSplit/>
          <w:trHeight w:val="14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обеспечение деятельности казенных учреждений 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175 810,3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58 040,2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58 869,3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58 900,8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подведомственных казенных учреждений, ед.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КИО,         ЦКИМИ</w:t>
            </w:r>
          </w:p>
        </w:tc>
      </w:tr>
      <w:tr w:rsidR="00763842" w:rsidRPr="00320436" w:rsidTr="00763842">
        <w:trPr>
          <w:cantSplit/>
          <w:trHeight w:val="66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175 810,3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58 040,2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58 869,3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58 900,8</w:t>
            </w: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3842" w:rsidRPr="00320436" w:rsidTr="00763842">
        <w:trPr>
          <w:cantSplit/>
          <w:trHeight w:val="291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связанные с организацией ограничения доступа, вывоза крупногабаритного и бытового мусора и санитарной обработки пустующих муниципальных помещений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2017 - 2019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6 615,9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2 405,3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2 105,3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помещений, в которых проведены мероприятия, ед.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КИО,         ЦКИМИ</w:t>
            </w:r>
          </w:p>
        </w:tc>
      </w:tr>
      <w:tr w:rsidR="00763842" w:rsidRPr="00320436" w:rsidTr="00763842">
        <w:trPr>
          <w:cantSplit/>
          <w:trHeight w:val="312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6 615,9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2 405,3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2 105,3</w:t>
            </w: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3842" w:rsidRPr="00320436" w:rsidTr="00763842">
        <w:trPr>
          <w:cantSplit/>
          <w:trHeight w:val="66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Мероприятия, связанные с приобретением, внедрением и 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эксплуатацией автоматизированной системы управления муниципальной собственностью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2017 - 2019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6 074,3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4 204,3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Эксплуатация автоматизированной системы управления муниципальным 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имуществом города Мурманска, обеспечивающей повышение эффективности и качества управления земельно-имущественным комплексом города (1- да / 0 - нет)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КИО, конкурсный 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отбор</w:t>
            </w:r>
          </w:p>
        </w:tc>
      </w:tr>
      <w:tr w:rsidR="00763842" w:rsidRPr="00320436" w:rsidTr="00763842">
        <w:trPr>
          <w:cantSplit/>
          <w:trHeight w:val="1126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6 074,3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4 204,3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3842" w:rsidRPr="00320436" w:rsidTr="00763842">
        <w:trPr>
          <w:cantSplit/>
          <w:trHeight w:val="3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2016 - 2017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126 071,7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13 777,3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112 294,4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КИО, конкурсный отбор</w:t>
            </w:r>
          </w:p>
        </w:tc>
      </w:tr>
      <w:tr w:rsidR="00763842" w:rsidRPr="00320436" w:rsidTr="00763842">
        <w:trPr>
          <w:cantSplit/>
          <w:trHeight w:val="164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126 071,7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13 777,3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112 294,4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3842" w:rsidRPr="00320436" w:rsidTr="00763842">
        <w:trPr>
          <w:cantSplit/>
          <w:trHeight w:val="188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 создание условий для развития предприятий производственной и непроизводственной сферы экономики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предприятий производственной и непроизводственной сферы экономики, для которых созданы условия для развития, ед.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</w:t>
            </w:r>
          </w:p>
        </w:tc>
      </w:tr>
      <w:tr w:rsidR="00763842" w:rsidRPr="00320436" w:rsidTr="00763842">
        <w:trPr>
          <w:cantSplit/>
          <w:trHeight w:val="696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3842" w:rsidRPr="00320436" w:rsidTr="00763842">
        <w:trPr>
          <w:cantSplit/>
          <w:trHeight w:val="261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уставного капитала АО "Электротранспорт"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акционерных обществ, в отношении которых произведена процедура увеличения уставного капитала, ед.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</w:t>
            </w:r>
          </w:p>
        </w:tc>
      </w:tr>
      <w:tr w:rsidR="00763842" w:rsidRPr="00320436" w:rsidTr="00763842">
        <w:trPr>
          <w:cantSplit/>
          <w:trHeight w:val="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3842" w:rsidRPr="00320436" w:rsidTr="00763842">
        <w:trPr>
          <w:cantSplit/>
          <w:trHeight w:val="1572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связанные с формированием перечня предприятий производственной и непроизводственной сферы экономики, в отношении которых необходимо увеличение уставного капитала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сформированных перечней предприятий производственной и непроизводственной сферы экономики, в отношении которых необходимо увеличение уставного капитала, ед.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</w:t>
            </w:r>
          </w:p>
        </w:tc>
      </w:tr>
      <w:tr w:rsidR="00763842" w:rsidRPr="00320436" w:rsidTr="00763842">
        <w:trPr>
          <w:cantSplit/>
          <w:trHeight w:val="158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субсидии муниципальным унитарным предприятиям города Мурманска на увеличение уставного фонда, за исключением бюджетных ассигнований на осуществление капитальных вложений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муниципальных унитарных предприятий, в отношении которых произведена процедура увеличения уставного фонда, ед.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</w:t>
            </w:r>
          </w:p>
        </w:tc>
      </w:tr>
      <w:tr w:rsidR="00763842" w:rsidRPr="00320436" w:rsidTr="00763842">
        <w:trPr>
          <w:cantSplit/>
          <w:trHeight w:val="66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внесение от имени муниципального образования 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 Мурманск платы за жилищно-коммунальные услуги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2017-2019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82 980,0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заключенных муниципальных контрактов на 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внесение платы за жилищно-коммунальные услуги, ед.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ЦКИМИ</w:t>
            </w:r>
          </w:p>
        </w:tc>
      </w:tr>
      <w:tr w:rsidR="00763842" w:rsidRPr="00320436" w:rsidTr="00763842">
        <w:trPr>
          <w:cantSplit/>
          <w:trHeight w:val="492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82 980,0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3842" w:rsidRPr="00320436" w:rsidTr="00763842">
        <w:trPr>
          <w:cantSplit/>
          <w:trHeight w:val="66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проверки правильности расчетов платы за жилищно-коммунальные услуги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проверенных расчетов, ед.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ЦКИМИ</w:t>
            </w:r>
          </w:p>
        </w:tc>
      </w:tr>
      <w:tr w:rsidR="00763842" w:rsidRPr="00320436" w:rsidTr="00763842">
        <w:trPr>
          <w:cantSplit/>
          <w:trHeight w:val="66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 платы за жилищно-коммунальные услуги, оказанные уполномоченными юридическими лицами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82 980,0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оплаченных счетов, ед.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ЦКИМИ</w:t>
            </w:r>
          </w:p>
        </w:tc>
      </w:tr>
      <w:tr w:rsidR="00763842" w:rsidRPr="00320436" w:rsidTr="00763842">
        <w:trPr>
          <w:cantSplit/>
          <w:trHeight w:val="66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82 980,0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3842" w:rsidRPr="00320436" w:rsidTr="00763842">
        <w:trPr>
          <w:cantSplit/>
          <w:trHeight w:val="66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по ВЦП: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478 922,8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78 008,3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209 172,7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95 943,9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95 797,9</w:t>
            </w:r>
          </w:p>
        </w:tc>
        <w:tc>
          <w:tcPr>
            <w:tcW w:w="191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3842" w:rsidRPr="00320436" w:rsidTr="00763842">
        <w:trPr>
          <w:cantSplit/>
          <w:trHeight w:val="66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478 922,8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78 008,3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209 172,7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95 943,9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95 797,9</w:t>
            </w:r>
          </w:p>
        </w:tc>
        <w:tc>
          <w:tcPr>
            <w:tcW w:w="191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42" w:rsidRPr="00320436" w:rsidRDefault="00763842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287DE4" w:rsidRPr="009877AF" w:rsidRDefault="00287DE4" w:rsidP="00B872B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87DE4" w:rsidRPr="009877AF" w:rsidSect="00D070B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11983" w:rsidRPr="009877AF" w:rsidRDefault="00211983" w:rsidP="00B872B8">
      <w:pPr>
        <w:shd w:val="clear" w:color="auto" w:fill="FFFFFF" w:themeFill="background1"/>
        <w:tabs>
          <w:tab w:val="left" w:pos="3119"/>
          <w:tab w:val="left" w:pos="467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Детализация направлений расходов на 2017 -2019 годы</w:t>
      </w:r>
    </w:p>
    <w:p w:rsidR="00211983" w:rsidRPr="009877AF" w:rsidRDefault="00211983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855"/>
        <w:gridCol w:w="8274"/>
        <w:gridCol w:w="2701"/>
        <w:gridCol w:w="1311"/>
        <w:gridCol w:w="1311"/>
        <w:gridCol w:w="1308"/>
      </w:tblGrid>
      <w:tr w:rsidR="0013484B" w:rsidRPr="00320436" w:rsidTr="0013484B">
        <w:trPr>
          <w:tblHeader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  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13484B" w:rsidRPr="00320436" w:rsidTr="0013484B">
        <w:trPr>
          <w:tblHeader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</w:tr>
      <w:tr w:rsidR="0013484B" w:rsidRPr="00320436" w:rsidTr="0013484B">
        <w:trPr>
          <w:tblHeader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3484B" w:rsidRPr="00320436" w:rsidTr="0013484B">
        <w:trPr>
          <w:trHeight w:val="6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</w:tr>
      <w:tr w:rsidR="0013484B" w:rsidRPr="00320436" w:rsidTr="0013484B">
        <w:trPr>
          <w:trHeight w:val="66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проверки правильности расчетов платы за жилищно-коммунальные услуги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3484B" w:rsidRPr="00320436" w:rsidTr="0013484B">
        <w:trPr>
          <w:trHeight w:val="6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 платы за жилищно-коммунальные услуги, оказанные уполномоченными юридическими лицами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</w:tr>
      <w:tr w:rsidR="0013484B" w:rsidRPr="00320436" w:rsidTr="0013484B">
        <w:trPr>
          <w:trHeight w:val="19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3.2.1. 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платы за муниципальные жилые помещения (за исключением </w:t>
            </w:r>
            <w:proofErr w:type="gramStart"/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переданных</w:t>
            </w:r>
            <w:proofErr w:type="gramEnd"/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пользование по договорам найма,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7 660,0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7 660,0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7 660,0</w:t>
            </w:r>
          </w:p>
        </w:tc>
      </w:tr>
      <w:tr w:rsidR="0013484B" w:rsidRPr="00320436" w:rsidTr="0013484B">
        <w:trPr>
          <w:trHeight w:val="2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3.2.2.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Внесение платы за муниципальные нежилые помещения (за исключением </w:t>
            </w:r>
            <w:proofErr w:type="gramStart"/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закрепленных</w:t>
            </w:r>
            <w:proofErr w:type="gramEnd"/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</w:t>
            </w:r>
          </w:p>
        </w:tc>
      </w:tr>
      <w:tr w:rsidR="0013484B" w:rsidRPr="00320436" w:rsidTr="0013484B">
        <w:trPr>
          <w:trHeight w:val="6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4B" w:rsidRPr="00320436" w:rsidRDefault="0013484B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0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27 660,0</w:t>
            </w:r>
          </w:p>
        </w:tc>
      </w:tr>
    </w:tbl>
    <w:p w:rsidR="0013484B" w:rsidRDefault="0013484B" w:rsidP="00B872B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484B" w:rsidRDefault="0013484B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  <w:sectPr w:rsidR="0013484B" w:rsidSect="0013484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9A6C50" w:rsidRPr="009877AF" w:rsidRDefault="009A6C50" w:rsidP="009827C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6C50" w:rsidRPr="009877AF" w:rsidSect="009827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42" w:rsidRDefault="00763842" w:rsidP="00585AFD">
      <w:pPr>
        <w:spacing w:after="0" w:line="240" w:lineRule="auto"/>
      </w:pPr>
      <w:r>
        <w:separator/>
      </w:r>
    </w:p>
  </w:endnote>
  <w:endnote w:type="continuationSeparator" w:id="1">
    <w:p w:rsidR="00763842" w:rsidRDefault="0076384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42" w:rsidRDefault="00763842" w:rsidP="00585AFD">
      <w:pPr>
        <w:spacing w:after="0" w:line="240" w:lineRule="auto"/>
      </w:pPr>
      <w:r>
        <w:separator/>
      </w:r>
    </w:p>
  </w:footnote>
  <w:footnote w:type="continuationSeparator" w:id="1">
    <w:p w:rsidR="00763842" w:rsidRDefault="0076384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42" w:rsidRPr="00235139" w:rsidRDefault="00763842">
    <w:pPr>
      <w:pStyle w:val="a4"/>
      <w:jc w:val="center"/>
      <w:rPr>
        <w:color w:val="000000" w:themeColor="text1"/>
      </w:rPr>
    </w:pPr>
  </w:p>
  <w:p w:rsidR="00763842" w:rsidRPr="00235139" w:rsidRDefault="00763842">
    <w:pPr>
      <w:pStyle w:val="a4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42" w:rsidRPr="00613CCB" w:rsidRDefault="00763842">
    <w:pPr>
      <w:pStyle w:val="a4"/>
      <w:jc w:val="center"/>
      <w:rPr>
        <w:color w:val="000000" w:themeColor="text1"/>
      </w:rPr>
    </w:pPr>
  </w:p>
  <w:p w:rsidR="00763842" w:rsidRDefault="007638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74C3"/>
    <w:multiLevelType w:val="multilevel"/>
    <w:tmpl w:val="28163710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7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B606EA"/>
    <w:multiLevelType w:val="multilevel"/>
    <w:tmpl w:val="1B109AF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9" w:hanging="10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8"/>
  </w:num>
  <w:num w:numId="4">
    <w:abstractNumId w:val="4"/>
  </w:num>
  <w:num w:numId="5">
    <w:abstractNumId w:val="32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13"/>
  </w:num>
  <w:num w:numId="11">
    <w:abstractNumId w:val="25"/>
  </w:num>
  <w:num w:numId="12">
    <w:abstractNumId w:val="14"/>
  </w:num>
  <w:num w:numId="13">
    <w:abstractNumId w:val="1"/>
  </w:num>
  <w:num w:numId="14">
    <w:abstractNumId w:val="30"/>
  </w:num>
  <w:num w:numId="15">
    <w:abstractNumId w:val="11"/>
  </w:num>
  <w:num w:numId="16">
    <w:abstractNumId w:val="21"/>
  </w:num>
  <w:num w:numId="17">
    <w:abstractNumId w:val="9"/>
  </w:num>
  <w:num w:numId="18">
    <w:abstractNumId w:val="6"/>
  </w:num>
  <w:num w:numId="19">
    <w:abstractNumId w:val="3"/>
  </w:num>
  <w:num w:numId="20">
    <w:abstractNumId w:val="17"/>
  </w:num>
  <w:num w:numId="21">
    <w:abstractNumId w:val="10"/>
  </w:num>
  <w:num w:numId="22">
    <w:abstractNumId w:val="29"/>
  </w:num>
  <w:num w:numId="23">
    <w:abstractNumId w:val="0"/>
  </w:num>
  <w:num w:numId="24">
    <w:abstractNumId w:val="2"/>
  </w:num>
  <w:num w:numId="25">
    <w:abstractNumId w:val="16"/>
  </w:num>
  <w:num w:numId="26">
    <w:abstractNumId w:val="33"/>
  </w:num>
  <w:num w:numId="27">
    <w:abstractNumId w:val="2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4"/>
  </w:num>
  <w:num w:numId="33">
    <w:abstractNumId w:val="23"/>
  </w:num>
  <w:num w:numId="34">
    <w:abstractNumId w:val="12"/>
  </w:num>
  <w:num w:numId="35">
    <w:abstractNumId w:val="7"/>
  </w:num>
  <w:num w:numId="36">
    <w:abstractNumId w:val="2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585AFD"/>
    <w:rsid w:val="000031F2"/>
    <w:rsid w:val="000036BD"/>
    <w:rsid w:val="00004310"/>
    <w:rsid w:val="00004CBA"/>
    <w:rsid w:val="00005636"/>
    <w:rsid w:val="00005DD8"/>
    <w:rsid w:val="000065AF"/>
    <w:rsid w:val="00006995"/>
    <w:rsid w:val="00006D96"/>
    <w:rsid w:val="00007A21"/>
    <w:rsid w:val="00010BD5"/>
    <w:rsid w:val="00010FA3"/>
    <w:rsid w:val="000207A2"/>
    <w:rsid w:val="0002298F"/>
    <w:rsid w:val="000231CE"/>
    <w:rsid w:val="000234C8"/>
    <w:rsid w:val="00024670"/>
    <w:rsid w:val="0002641E"/>
    <w:rsid w:val="00026C26"/>
    <w:rsid w:val="0002765E"/>
    <w:rsid w:val="00030C64"/>
    <w:rsid w:val="00031A26"/>
    <w:rsid w:val="00031CB6"/>
    <w:rsid w:val="00032558"/>
    <w:rsid w:val="00036392"/>
    <w:rsid w:val="00040AEE"/>
    <w:rsid w:val="0004247E"/>
    <w:rsid w:val="00042A63"/>
    <w:rsid w:val="00043C3E"/>
    <w:rsid w:val="00043DA0"/>
    <w:rsid w:val="0004468C"/>
    <w:rsid w:val="00045878"/>
    <w:rsid w:val="00045D64"/>
    <w:rsid w:val="00047B46"/>
    <w:rsid w:val="00050054"/>
    <w:rsid w:val="00054D88"/>
    <w:rsid w:val="00055E1A"/>
    <w:rsid w:val="000561C6"/>
    <w:rsid w:val="00062971"/>
    <w:rsid w:val="00063F0C"/>
    <w:rsid w:val="00065ED0"/>
    <w:rsid w:val="00066BD4"/>
    <w:rsid w:val="00067825"/>
    <w:rsid w:val="000678C3"/>
    <w:rsid w:val="00070013"/>
    <w:rsid w:val="00071DF6"/>
    <w:rsid w:val="00074C31"/>
    <w:rsid w:val="0007649E"/>
    <w:rsid w:val="000804D1"/>
    <w:rsid w:val="00080706"/>
    <w:rsid w:val="00082041"/>
    <w:rsid w:val="000846A5"/>
    <w:rsid w:val="0008601D"/>
    <w:rsid w:val="000863DA"/>
    <w:rsid w:val="000864AD"/>
    <w:rsid w:val="00090317"/>
    <w:rsid w:val="00090E5C"/>
    <w:rsid w:val="00097A86"/>
    <w:rsid w:val="000A44F7"/>
    <w:rsid w:val="000A4F51"/>
    <w:rsid w:val="000A55FA"/>
    <w:rsid w:val="000A6522"/>
    <w:rsid w:val="000B24C6"/>
    <w:rsid w:val="000B2F09"/>
    <w:rsid w:val="000B4AEC"/>
    <w:rsid w:val="000B583E"/>
    <w:rsid w:val="000B5F32"/>
    <w:rsid w:val="000B6F89"/>
    <w:rsid w:val="000C19CE"/>
    <w:rsid w:val="000C1FE3"/>
    <w:rsid w:val="000C2F02"/>
    <w:rsid w:val="000C33A4"/>
    <w:rsid w:val="000C62F0"/>
    <w:rsid w:val="000D3558"/>
    <w:rsid w:val="000D474C"/>
    <w:rsid w:val="000D7A5D"/>
    <w:rsid w:val="000D7B9E"/>
    <w:rsid w:val="000D7F60"/>
    <w:rsid w:val="000E00AB"/>
    <w:rsid w:val="000E45C1"/>
    <w:rsid w:val="000E7DAF"/>
    <w:rsid w:val="000F70E2"/>
    <w:rsid w:val="000F778E"/>
    <w:rsid w:val="001032A1"/>
    <w:rsid w:val="00103698"/>
    <w:rsid w:val="00103D27"/>
    <w:rsid w:val="00105D54"/>
    <w:rsid w:val="00106693"/>
    <w:rsid w:val="00107875"/>
    <w:rsid w:val="0011443D"/>
    <w:rsid w:val="00116914"/>
    <w:rsid w:val="00120442"/>
    <w:rsid w:val="001209E3"/>
    <w:rsid w:val="001214C6"/>
    <w:rsid w:val="0012391B"/>
    <w:rsid w:val="00124FC0"/>
    <w:rsid w:val="0013093F"/>
    <w:rsid w:val="0013484B"/>
    <w:rsid w:val="0013628E"/>
    <w:rsid w:val="00136452"/>
    <w:rsid w:val="001374C1"/>
    <w:rsid w:val="00141E8F"/>
    <w:rsid w:val="00144D3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6C7A"/>
    <w:rsid w:val="00167D9A"/>
    <w:rsid w:val="001706BD"/>
    <w:rsid w:val="001754FD"/>
    <w:rsid w:val="00176B0B"/>
    <w:rsid w:val="00180C97"/>
    <w:rsid w:val="00181386"/>
    <w:rsid w:val="00184354"/>
    <w:rsid w:val="001854E1"/>
    <w:rsid w:val="001858FF"/>
    <w:rsid w:val="0018590D"/>
    <w:rsid w:val="00186B97"/>
    <w:rsid w:val="00191015"/>
    <w:rsid w:val="001913C9"/>
    <w:rsid w:val="0019200A"/>
    <w:rsid w:val="0019481A"/>
    <w:rsid w:val="00194F51"/>
    <w:rsid w:val="00195A33"/>
    <w:rsid w:val="00197B42"/>
    <w:rsid w:val="001A1F55"/>
    <w:rsid w:val="001A1F97"/>
    <w:rsid w:val="001A6279"/>
    <w:rsid w:val="001B13BA"/>
    <w:rsid w:val="001B15B3"/>
    <w:rsid w:val="001C2105"/>
    <w:rsid w:val="001C319F"/>
    <w:rsid w:val="001C3722"/>
    <w:rsid w:val="001C4CC8"/>
    <w:rsid w:val="001D15A8"/>
    <w:rsid w:val="001D1775"/>
    <w:rsid w:val="001D1E9F"/>
    <w:rsid w:val="001D4354"/>
    <w:rsid w:val="001D465D"/>
    <w:rsid w:val="001D4846"/>
    <w:rsid w:val="001D4FC7"/>
    <w:rsid w:val="001D6D3D"/>
    <w:rsid w:val="001E07BB"/>
    <w:rsid w:val="001E2048"/>
    <w:rsid w:val="001E21A5"/>
    <w:rsid w:val="001E24E5"/>
    <w:rsid w:val="001F12B2"/>
    <w:rsid w:val="001F1FE2"/>
    <w:rsid w:val="001F3B63"/>
    <w:rsid w:val="001F4A92"/>
    <w:rsid w:val="001F4E2F"/>
    <w:rsid w:val="001F5BCA"/>
    <w:rsid w:val="001F60A0"/>
    <w:rsid w:val="001F7FED"/>
    <w:rsid w:val="00200749"/>
    <w:rsid w:val="0020264A"/>
    <w:rsid w:val="00204629"/>
    <w:rsid w:val="00210B00"/>
    <w:rsid w:val="00211983"/>
    <w:rsid w:val="00227124"/>
    <w:rsid w:val="002272D5"/>
    <w:rsid w:val="00230387"/>
    <w:rsid w:val="00233215"/>
    <w:rsid w:val="002349BF"/>
    <w:rsid w:val="00235139"/>
    <w:rsid w:val="0023714F"/>
    <w:rsid w:val="00237437"/>
    <w:rsid w:val="00241381"/>
    <w:rsid w:val="0024356F"/>
    <w:rsid w:val="002444D0"/>
    <w:rsid w:val="00246527"/>
    <w:rsid w:val="00246D88"/>
    <w:rsid w:val="00251F37"/>
    <w:rsid w:val="00252367"/>
    <w:rsid w:val="00252749"/>
    <w:rsid w:val="002540D7"/>
    <w:rsid w:val="00255526"/>
    <w:rsid w:val="0025759D"/>
    <w:rsid w:val="0026028F"/>
    <w:rsid w:val="00260C55"/>
    <w:rsid w:val="00261912"/>
    <w:rsid w:val="0026430F"/>
    <w:rsid w:val="00270195"/>
    <w:rsid w:val="00274662"/>
    <w:rsid w:val="0027581A"/>
    <w:rsid w:val="00277F50"/>
    <w:rsid w:val="00281884"/>
    <w:rsid w:val="002820D7"/>
    <w:rsid w:val="00283A92"/>
    <w:rsid w:val="00284228"/>
    <w:rsid w:val="00284422"/>
    <w:rsid w:val="00287DE4"/>
    <w:rsid w:val="002918C9"/>
    <w:rsid w:val="00292653"/>
    <w:rsid w:val="00294E95"/>
    <w:rsid w:val="002963C6"/>
    <w:rsid w:val="002A0CD5"/>
    <w:rsid w:val="002A28D2"/>
    <w:rsid w:val="002A3B4B"/>
    <w:rsid w:val="002A5776"/>
    <w:rsid w:val="002A6894"/>
    <w:rsid w:val="002B2500"/>
    <w:rsid w:val="002B5AC7"/>
    <w:rsid w:val="002B6317"/>
    <w:rsid w:val="002C2B99"/>
    <w:rsid w:val="002C3E38"/>
    <w:rsid w:val="002C508F"/>
    <w:rsid w:val="002C7911"/>
    <w:rsid w:val="002D047C"/>
    <w:rsid w:val="002D102B"/>
    <w:rsid w:val="002D3130"/>
    <w:rsid w:val="002D4B40"/>
    <w:rsid w:val="002D709A"/>
    <w:rsid w:val="002E26F4"/>
    <w:rsid w:val="002E5D52"/>
    <w:rsid w:val="002E60AA"/>
    <w:rsid w:val="002F4AF2"/>
    <w:rsid w:val="002F5AC4"/>
    <w:rsid w:val="002F7A42"/>
    <w:rsid w:val="00301F1C"/>
    <w:rsid w:val="003051C8"/>
    <w:rsid w:val="00305D01"/>
    <w:rsid w:val="00310477"/>
    <w:rsid w:val="00313237"/>
    <w:rsid w:val="0031342C"/>
    <w:rsid w:val="0031421D"/>
    <w:rsid w:val="00314CD7"/>
    <w:rsid w:val="00314F2D"/>
    <w:rsid w:val="00315271"/>
    <w:rsid w:val="00316946"/>
    <w:rsid w:val="00316C93"/>
    <w:rsid w:val="00320436"/>
    <w:rsid w:val="00320B5C"/>
    <w:rsid w:val="003236CF"/>
    <w:rsid w:val="00326D47"/>
    <w:rsid w:val="0033069E"/>
    <w:rsid w:val="00331F3C"/>
    <w:rsid w:val="003336BB"/>
    <w:rsid w:val="00333C94"/>
    <w:rsid w:val="00336E59"/>
    <w:rsid w:val="00341E9C"/>
    <w:rsid w:val="00345AA5"/>
    <w:rsid w:val="00345B61"/>
    <w:rsid w:val="0035031A"/>
    <w:rsid w:val="00351DBC"/>
    <w:rsid w:val="00351E08"/>
    <w:rsid w:val="00352E21"/>
    <w:rsid w:val="003544BC"/>
    <w:rsid w:val="00356404"/>
    <w:rsid w:val="003603FE"/>
    <w:rsid w:val="00360F62"/>
    <w:rsid w:val="003612D1"/>
    <w:rsid w:val="00361589"/>
    <w:rsid w:val="00362761"/>
    <w:rsid w:val="00364533"/>
    <w:rsid w:val="00367131"/>
    <w:rsid w:val="00371AFF"/>
    <w:rsid w:val="003745CD"/>
    <w:rsid w:val="00376819"/>
    <w:rsid w:val="00377EFC"/>
    <w:rsid w:val="00381364"/>
    <w:rsid w:val="00382026"/>
    <w:rsid w:val="0038360F"/>
    <w:rsid w:val="00385942"/>
    <w:rsid w:val="003876BE"/>
    <w:rsid w:val="0039079A"/>
    <w:rsid w:val="00392253"/>
    <w:rsid w:val="00393C24"/>
    <w:rsid w:val="003A02EE"/>
    <w:rsid w:val="003A6824"/>
    <w:rsid w:val="003B0D54"/>
    <w:rsid w:val="003B368E"/>
    <w:rsid w:val="003B4D45"/>
    <w:rsid w:val="003B4DAE"/>
    <w:rsid w:val="003B4F96"/>
    <w:rsid w:val="003B784D"/>
    <w:rsid w:val="003C1157"/>
    <w:rsid w:val="003C26C7"/>
    <w:rsid w:val="003C5DB6"/>
    <w:rsid w:val="003C78CC"/>
    <w:rsid w:val="003D1166"/>
    <w:rsid w:val="003D187A"/>
    <w:rsid w:val="003D1BA7"/>
    <w:rsid w:val="003D4B4F"/>
    <w:rsid w:val="003D5D85"/>
    <w:rsid w:val="003E5E28"/>
    <w:rsid w:val="003E7EAF"/>
    <w:rsid w:val="003F126A"/>
    <w:rsid w:val="003F2AB4"/>
    <w:rsid w:val="003F2AF8"/>
    <w:rsid w:val="003F3D99"/>
    <w:rsid w:val="003F635D"/>
    <w:rsid w:val="003F6607"/>
    <w:rsid w:val="0040524D"/>
    <w:rsid w:val="00405707"/>
    <w:rsid w:val="0041163B"/>
    <w:rsid w:val="00412B1D"/>
    <w:rsid w:val="00416B09"/>
    <w:rsid w:val="004179A3"/>
    <w:rsid w:val="004218D1"/>
    <w:rsid w:val="00421E15"/>
    <w:rsid w:val="00422F83"/>
    <w:rsid w:val="00424224"/>
    <w:rsid w:val="00427D9F"/>
    <w:rsid w:val="00432990"/>
    <w:rsid w:val="004336AB"/>
    <w:rsid w:val="00433E66"/>
    <w:rsid w:val="00436CA6"/>
    <w:rsid w:val="00437A62"/>
    <w:rsid w:val="00437C7A"/>
    <w:rsid w:val="004412C1"/>
    <w:rsid w:val="0044196A"/>
    <w:rsid w:val="0044452D"/>
    <w:rsid w:val="00453D95"/>
    <w:rsid w:val="00454B44"/>
    <w:rsid w:val="0045502E"/>
    <w:rsid w:val="00455331"/>
    <w:rsid w:val="00455628"/>
    <w:rsid w:val="00456136"/>
    <w:rsid w:val="004569D6"/>
    <w:rsid w:val="00462144"/>
    <w:rsid w:val="004629C3"/>
    <w:rsid w:val="004629D3"/>
    <w:rsid w:val="00462D22"/>
    <w:rsid w:val="0046506F"/>
    <w:rsid w:val="004663ED"/>
    <w:rsid w:val="004668CA"/>
    <w:rsid w:val="004732FE"/>
    <w:rsid w:val="00474C83"/>
    <w:rsid w:val="0047565F"/>
    <w:rsid w:val="00475704"/>
    <w:rsid w:val="00480A1E"/>
    <w:rsid w:val="00481531"/>
    <w:rsid w:val="00482738"/>
    <w:rsid w:val="00484719"/>
    <w:rsid w:val="004856C4"/>
    <w:rsid w:val="00485BEE"/>
    <w:rsid w:val="00491C53"/>
    <w:rsid w:val="00491C98"/>
    <w:rsid w:val="0049403B"/>
    <w:rsid w:val="00497D02"/>
    <w:rsid w:val="004A0AE8"/>
    <w:rsid w:val="004A0C65"/>
    <w:rsid w:val="004A1946"/>
    <w:rsid w:val="004A21C7"/>
    <w:rsid w:val="004A251A"/>
    <w:rsid w:val="004A7ED4"/>
    <w:rsid w:val="004B0297"/>
    <w:rsid w:val="004B02CF"/>
    <w:rsid w:val="004B4AE4"/>
    <w:rsid w:val="004B5341"/>
    <w:rsid w:val="004B5B54"/>
    <w:rsid w:val="004C09B8"/>
    <w:rsid w:val="004C17FB"/>
    <w:rsid w:val="004C2ABF"/>
    <w:rsid w:val="004C3471"/>
    <w:rsid w:val="004C498B"/>
    <w:rsid w:val="004D1A25"/>
    <w:rsid w:val="004D5BA6"/>
    <w:rsid w:val="004D5E1C"/>
    <w:rsid w:val="004D68DC"/>
    <w:rsid w:val="004E0366"/>
    <w:rsid w:val="004E0858"/>
    <w:rsid w:val="004E187A"/>
    <w:rsid w:val="004E21B1"/>
    <w:rsid w:val="004E3FB7"/>
    <w:rsid w:val="004E4EE5"/>
    <w:rsid w:val="004E798C"/>
    <w:rsid w:val="004F35BD"/>
    <w:rsid w:val="004F3BC8"/>
    <w:rsid w:val="0050396A"/>
    <w:rsid w:val="005052F2"/>
    <w:rsid w:val="00506EAE"/>
    <w:rsid w:val="005110C9"/>
    <w:rsid w:val="00511218"/>
    <w:rsid w:val="00512658"/>
    <w:rsid w:val="005145EC"/>
    <w:rsid w:val="00522C69"/>
    <w:rsid w:val="00523F51"/>
    <w:rsid w:val="00526AE6"/>
    <w:rsid w:val="00527E84"/>
    <w:rsid w:val="005321A5"/>
    <w:rsid w:val="0053354F"/>
    <w:rsid w:val="0053729C"/>
    <w:rsid w:val="00541D0D"/>
    <w:rsid w:val="005477B0"/>
    <w:rsid w:val="00552404"/>
    <w:rsid w:val="005569DC"/>
    <w:rsid w:val="005621B8"/>
    <w:rsid w:val="00562656"/>
    <w:rsid w:val="00562B61"/>
    <w:rsid w:val="00564C00"/>
    <w:rsid w:val="005659A2"/>
    <w:rsid w:val="00565AC7"/>
    <w:rsid w:val="00567733"/>
    <w:rsid w:val="005713D0"/>
    <w:rsid w:val="005719D6"/>
    <w:rsid w:val="0057382F"/>
    <w:rsid w:val="005762C7"/>
    <w:rsid w:val="00576817"/>
    <w:rsid w:val="005773EF"/>
    <w:rsid w:val="00582E50"/>
    <w:rsid w:val="00583AF6"/>
    <w:rsid w:val="00584C55"/>
    <w:rsid w:val="00585AFD"/>
    <w:rsid w:val="00586665"/>
    <w:rsid w:val="00590C61"/>
    <w:rsid w:val="00591591"/>
    <w:rsid w:val="00591731"/>
    <w:rsid w:val="005945B2"/>
    <w:rsid w:val="005947FC"/>
    <w:rsid w:val="005950D3"/>
    <w:rsid w:val="005967D7"/>
    <w:rsid w:val="005A0994"/>
    <w:rsid w:val="005A0BE3"/>
    <w:rsid w:val="005A40AA"/>
    <w:rsid w:val="005A55B2"/>
    <w:rsid w:val="005A6855"/>
    <w:rsid w:val="005A7349"/>
    <w:rsid w:val="005B1782"/>
    <w:rsid w:val="005B1C6E"/>
    <w:rsid w:val="005B2CE7"/>
    <w:rsid w:val="005B5715"/>
    <w:rsid w:val="005C4F89"/>
    <w:rsid w:val="005C5318"/>
    <w:rsid w:val="005C5614"/>
    <w:rsid w:val="005D1AE1"/>
    <w:rsid w:val="005D1FC8"/>
    <w:rsid w:val="005D3148"/>
    <w:rsid w:val="005D319F"/>
    <w:rsid w:val="005D665A"/>
    <w:rsid w:val="005D7BBD"/>
    <w:rsid w:val="005D7D65"/>
    <w:rsid w:val="005E00FF"/>
    <w:rsid w:val="005E7300"/>
    <w:rsid w:val="005F67F6"/>
    <w:rsid w:val="005F7C75"/>
    <w:rsid w:val="00601FC0"/>
    <w:rsid w:val="006034A4"/>
    <w:rsid w:val="006037B0"/>
    <w:rsid w:val="0060548E"/>
    <w:rsid w:val="00611EAB"/>
    <w:rsid w:val="00612EF3"/>
    <w:rsid w:val="00613CCB"/>
    <w:rsid w:val="006145DC"/>
    <w:rsid w:val="00615C83"/>
    <w:rsid w:val="006167CB"/>
    <w:rsid w:val="00624826"/>
    <w:rsid w:val="00627406"/>
    <w:rsid w:val="006323B4"/>
    <w:rsid w:val="0063366B"/>
    <w:rsid w:val="0063438A"/>
    <w:rsid w:val="0063598C"/>
    <w:rsid w:val="006371D3"/>
    <w:rsid w:val="00640681"/>
    <w:rsid w:val="0064240A"/>
    <w:rsid w:val="00644ADF"/>
    <w:rsid w:val="0064781D"/>
    <w:rsid w:val="0065005D"/>
    <w:rsid w:val="0065402B"/>
    <w:rsid w:val="006631E9"/>
    <w:rsid w:val="0066357C"/>
    <w:rsid w:val="00664936"/>
    <w:rsid w:val="00667671"/>
    <w:rsid w:val="00674330"/>
    <w:rsid w:val="00677843"/>
    <w:rsid w:val="00682D36"/>
    <w:rsid w:val="00691F56"/>
    <w:rsid w:val="00692AE8"/>
    <w:rsid w:val="00694807"/>
    <w:rsid w:val="006950A7"/>
    <w:rsid w:val="006A73C0"/>
    <w:rsid w:val="006B06C4"/>
    <w:rsid w:val="006B3F1B"/>
    <w:rsid w:val="006B4E2B"/>
    <w:rsid w:val="006B4FB4"/>
    <w:rsid w:val="006C081A"/>
    <w:rsid w:val="006C0CF4"/>
    <w:rsid w:val="006C2543"/>
    <w:rsid w:val="006C2B84"/>
    <w:rsid w:val="006C2D44"/>
    <w:rsid w:val="006C46C7"/>
    <w:rsid w:val="006C5BB0"/>
    <w:rsid w:val="006C6C7E"/>
    <w:rsid w:val="006D1C88"/>
    <w:rsid w:val="006D398B"/>
    <w:rsid w:val="006D3EF6"/>
    <w:rsid w:val="006D40C7"/>
    <w:rsid w:val="006D4525"/>
    <w:rsid w:val="006D6624"/>
    <w:rsid w:val="006E048C"/>
    <w:rsid w:val="006E5D18"/>
    <w:rsid w:val="006E6157"/>
    <w:rsid w:val="006E77F8"/>
    <w:rsid w:val="006E7F5A"/>
    <w:rsid w:val="006F409B"/>
    <w:rsid w:val="006F558A"/>
    <w:rsid w:val="006F6844"/>
    <w:rsid w:val="00705073"/>
    <w:rsid w:val="00705239"/>
    <w:rsid w:val="00705BFC"/>
    <w:rsid w:val="00707286"/>
    <w:rsid w:val="00716241"/>
    <w:rsid w:val="0072350F"/>
    <w:rsid w:val="007237B5"/>
    <w:rsid w:val="0073098D"/>
    <w:rsid w:val="007319D7"/>
    <w:rsid w:val="007326D9"/>
    <w:rsid w:val="0073496D"/>
    <w:rsid w:val="007364E9"/>
    <w:rsid w:val="00744D55"/>
    <w:rsid w:val="00744E8C"/>
    <w:rsid w:val="00747DAA"/>
    <w:rsid w:val="007518BB"/>
    <w:rsid w:val="00751A7E"/>
    <w:rsid w:val="007543C5"/>
    <w:rsid w:val="00754EA6"/>
    <w:rsid w:val="00755502"/>
    <w:rsid w:val="007603A7"/>
    <w:rsid w:val="00761217"/>
    <w:rsid w:val="007630C2"/>
    <w:rsid w:val="00763842"/>
    <w:rsid w:val="00765AB1"/>
    <w:rsid w:val="0076796C"/>
    <w:rsid w:val="007713C9"/>
    <w:rsid w:val="00774FAA"/>
    <w:rsid w:val="00777392"/>
    <w:rsid w:val="007807DF"/>
    <w:rsid w:val="00781393"/>
    <w:rsid w:val="00781B03"/>
    <w:rsid w:val="007825C5"/>
    <w:rsid w:val="00782745"/>
    <w:rsid w:val="00782CF2"/>
    <w:rsid w:val="007865BD"/>
    <w:rsid w:val="00786B4D"/>
    <w:rsid w:val="00792A68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707"/>
    <w:rsid w:val="007A7A52"/>
    <w:rsid w:val="007B24D5"/>
    <w:rsid w:val="007B38E0"/>
    <w:rsid w:val="007B721D"/>
    <w:rsid w:val="007C02D3"/>
    <w:rsid w:val="007C0780"/>
    <w:rsid w:val="007C0A9A"/>
    <w:rsid w:val="007C21E0"/>
    <w:rsid w:val="007C3AE0"/>
    <w:rsid w:val="007C6656"/>
    <w:rsid w:val="007D1A3C"/>
    <w:rsid w:val="007D2338"/>
    <w:rsid w:val="007D3469"/>
    <w:rsid w:val="007E05B4"/>
    <w:rsid w:val="007E0841"/>
    <w:rsid w:val="007E5B7A"/>
    <w:rsid w:val="007E78B2"/>
    <w:rsid w:val="007F0389"/>
    <w:rsid w:val="007F21E1"/>
    <w:rsid w:val="007F3E09"/>
    <w:rsid w:val="008075A7"/>
    <w:rsid w:val="00811910"/>
    <w:rsid w:val="00812CCC"/>
    <w:rsid w:val="00813C5B"/>
    <w:rsid w:val="00814142"/>
    <w:rsid w:val="00814D49"/>
    <w:rsid w:val="00815498"/>
    <w:rsid w:val="008169A1"/>
    <w:rsid w:val="00822029"/>
    <w:rsid w:val="00826C87"/>
    <w:rsid w:val="00831506"/>
    <w:rsid w:val="008321C9"/>
    <w:rsid w:val="008338DC"/>
    <w:rsid w:val="00833B23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60F91"/>
    <w:rsid w:val="008618E8"/>
    <w:rsid w:val="00861F0C"/>
    <w:rsid w:val="00861F74"/>
    <w:rsid w:val="00861FD6"/>
    <w:rsid w:val="008640F9"/>
    <w:rsid w:val="0086611F"/>
    <w:rsid w:val="00867850"/>
    <w:rsid w:val="00867F9F"/>
    <w:rsid w:val="0087021B"/>
    <w:rsid w:val="00874376"/>
    <w:rsid w:val="0087674B"/>
    <w:rsid w:val="00880189"/>
    <w:rsid w:val="00880DFC"/>
    <w:rsid w:val="00883A71"/>
    <w:rsid w:val="0088455F"/>
    <w:rsid w:val="008865E1"/>
    <w:rsid w:val="00886B7B"/>
    <w:rsid w:val="00887DD4"/>
    <w:rsid w:val="00892680"/>
    <w:rsid w:val="0089645F"/>
    <w:rsid w:val="008972B9"/>
    <w:rsid w:val="008A0AB2"/>
    <w:rsid w:val="008A1C40"/>
    <w:rsid w:val="008A43C5"/>
    <w:rsid w:val="008A486D"/>
    <w:rsid w:val="008A6308"/>
    <w:rsid w:val="008B03EA"/>
    <w:rsid w:val="008B1995"/>
    <w:rsid w:val="008B68AF"/>
    <w:rsid w:val="008C12CA"/>
    <w:rsid w:val="008C2B7F"/>
    <w:rsid w:val="008C5462"/>
    <w:rsid w:val="008C5F79"/>
    <w:rsid w:val="008C6E17"/>
    <w:rsid w:val="008D356F"/>
    <w:rsid w:val="008D4D09"/>
    <w:rsid w:val="008D68E5"/>
    <w:rsid w:val="008E1513"/>
    <w:rsid w:val="008E3D46"/>
    <w:rsid w:val="008E69C7"/>
    <w:rsid w:val="008F3057"/>
    <w:rsid w:val="008F392E"/>
    <w:rsid w:val="00901DBE"/>
    <w:rsid w:val="0090202B"/>
    <w:rsid w:val="0090325B"/>
    <w:rsid w:val="00903DF5"/>
    <w:rsid w:val="00904094"/>
    <w:rsid w:val="00904DE2"/>
    <w:rsid w:val="0090698A"/>
    <w:rsid w:val="00910CB7"/>
    <w:rsid w:val="0091170F"/>
    <w:rsid w:val="00912BA9"/>
    <w:rsid w:val="00913F08"/>
    <w:rsid w:val="00913F4D"/>
    <w:rsid w:val="0091527F"/>
    <w:rsid w:val="00916A42"/>
    <w:rsid w:val="0091726A"/>
    <w:rsid w:val="00921038"/>
    <w:rsid w:val="00923954"/>
    <w:rsid w:val="009274A9"/>
    <w:rsid w:val="00927E28"/>
    <w:rsid w:val="00931554"/>
    <w:rsid w:val="009347C1"/>
    <w:rsid w:val="0093568C"/>
    <w:rsid w:val="00937CB3"/>
    <w:rsid w:val="00941314"/>
    <w:rsid w:val="00943587"/>
    <w:rsid w:val="00943CFC"/>
    <w:rsid w:val="009441E5"/>
    <w:rsid w:val="009442AB"/>
    <w:rsid w:val="0094569F"/>
    <w:rsid w:val="00952526"/>
    <w:rsid w:val="00952D94"/>
    <w:rsid w:val="009545D6"/>
    <w:rsid w:val="009554BA"/>
    <w:rsid w:val="009619E4"/>
    <w:rsid w:val="00965905"/>
    <w:rsid w:val="00965AA8"/>
    <w:rsid w:val="00970F3B"/>
    <w:rsid w:val="0097105B"/>
    <w:rsid w:val="0097351F"/>
    <w:rsid w:val="00973F2B"/>
    <w:rsid w:val="00974B53"/>
    <w:rsid w:val="009779B0"/>
    <w:rsid w:val="009827C1"/>
    <w:rsid w:val="00983317"/>
    <w:rsid w:val="00983E49"/>
    <w:rsid w:val="00984EAC"/>
    <w:rsid w:val="00987488"/>
    <w:rsid w:val="00987794"/>
    <w:rsid w:val="009877AF"/>
    <w:rsid w:val="00987A75"/>
    <w:rsid w:val="00987C03"/>
    <w:rsid w:val="0099045B"/>
    <w:rsid w:val="00991E3F"/>
    <w:rsid w:val="0099360E"/>
    <w:rsid w:val="009954B7"/>
    <w:rsid w:val="009A675D"/>
    <w:rsid w:val="009A6893"/>
    <w:rsid w:val="009A6C50"/>
    <w:rsid w:val="009B2B41"/>
    <w:rsid w:val="009B4183"/>
    <w:rsid w:val="009B4E8F"/>
    <w:rsid w:val="009B70E2"/>
    <w:rsid w:val="009B7A9B"/>
    <w:rsid w:val="009C035B"/>
    <w:rsid w:val="009C13D7"/>
    <w:rsid w:val="009C2384"/>
    <w:rsid w:val="009C30D3"/>
    <w:rsid w:val="009C6B53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4B42"/>
    <w:rsid w:val="009E5902"/>
    <w:rsid w:val="009E79C5"/>
    <w:rsid w:val="009F1027"/>
    <w:rsid w:val="009F3745"/>
    <w:rsid w:val="009F78BC"/>
    <w:rsid w:val="00A019EF"/>
    <w:rsid w:val="00A02C06"/>
    <w:rsid w:val="00A04A06"/>
    <w:rsid w:val="00A06327"/>
    <w:rsid w:val="00A10B41"/>
    <w:rsid w:val="00A120AC"/>
    <w:rsid w:val="00A16B09"/>
    <w:rsid w:val="00A204E7"/>
    <w:rsid w:val="00A30D20"/>
    <w:rsid w:val="00A37552"/>
    <w:rsid w:val="00A402C0"/>
    <w:rsid w:val="00A40673"/>
    <w:rsid w:val="00A419D6"/>
    <w:rsid w:val="00A44AE6"/>
    <w:rsid w:val="00A45961"/>
    <w:rsid w:val="00A46A74"/>
    <w:rsid w:val="00A51A03"/>
    <w:rsid w:val="00A54D5E"/>
    <w:rsid w:val="00A54F84"/>
    <w:rsid w:val="00A5696D"/>
    <w:rsid w:val="00A604F4"/>
    <w:rsid w:val="00A623DC"/>
    <w:rsid w:val="00A6374B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8E4"/>
    <w:rsid w:val="00A804C1"/>
    <w:rsid w:val="00A82274"/>
    <w:rsid w:val="00A8569A"/>
    <w:rsid w:val="00A901DA"/>
    <w:rsid w:val="00A9074F"/>
    <w:rsid w:val="00A90E78"/>
    <w:rsid w:val="00A929A1"/>
    <w:rsid w:val="00A93914"/>
    <w:rsid w:val="00A94E0B"/>
    <w:rsid w:val="00A95F1D"/>
    <w:rsid w:val="00A95F7C"/>
    <w:rsid w:val="00AA3422"/>
    <w:rsid w:val="00AA36E9"/>
    <w:rsid w:val="00AA4DDB"/>
    <w:rsid w:val="00AA6115"/>
    <w:rsid w:val="00AA6F0C"/>
    <w:rsid w:val="00AB0C04"/>
    <w:rsid w:val="00AB0F97"/>
    <w:rsid w:val="00AB6163"/>
    <w:rsid w:val="00AB6357"/>
    <w:rsid w:val="00AB64C7"/>
    <w:rsid w:val="00AB7906"/>
    <w:rsid w:val="00AC3FD5"/>
    <w:rsid w:val="00AC6E40"/>
    <w:rsid w:val="00AC7DD9"/>
    <w:rsid w:val="00AD06B5"/>
    <w:rsid w:val="00AD153A"/>
    <w:rsid w:val="00AD1CEF"/>
    <w:rsid w:val="00AD1DCF"/>
    <w:rsid w:val="00AD2747"/>
    <w:rsid w:val="00AD6092"/>
    <w:rsid w:val="00AD77F9"/>
    <w:rsid w:val="00AE4F40"/>
    <w:rsid w:val="00AE6EEE"/>
    <w:rsid w:val="00AF1DBF"/>
    <w:rsid w:val="00AF2757"/>
    <w:rsid w:val="00AF2C73"/>
    <w:rsid w:val="00AF3B5F"/>
    <w:rsid w:val="00AF7BBB"/>
    <w:rsid w:val="00B003D8"/>
    <w:rsid w:val="00B00543"/>
    <w:rsid w:val="00B01A54"/>
    <w:rsid w:val="00B024E7"/>
    <w:rsid w:val="00B04858"/>
    <w:rsid w:val="00B05102"/>
    <w:rsid w:val="00B05E55"/>
    <w:rsid w:val="00B10814"/>
    <w:rsid w:val="00B11BB7"/>
    <w:rsid w:val="00B12E54"/>
    <w:rsid w:val="00B164AD"/>
    <w:rsid w:val="00B1786F"/>
    <w:rsid w:val="00B21A55"/>
    <w:rsid w:val="00B23333"/>
    <w:rsid w:val="00B252EB"/>
    <w:rsid w:val="00B259E0"/>
    <w:rsid w:val="00B26041"/>
    <w:rsid w:val="00B27D43"/>
    <w:rsid w:val="00B31198"/>
    <w:rsid w:val="00B317CD"/>
    <w:rsid w:val="00B37E42"/>
    <w:rsid w:val="00B40001"/>
    <w:rsid w:val="00B45853"/>
    <w:rsid w:val="00B47B97"/>
    <w:rsid w:val="00B55EA8"/>
    <w:rsid w:val="00B62770"/>
    <w:rsid w:val="00B628B0"/>
    <w:rsid w:val="00B65E6E"/>
    <w:rsid w:val="00B66EE1"/>
    <w:rsid w:val="00B70FC3"/>
    <w:rsid w:val="00B72A2B"/>
    <w:rsid w:val="00B8016E"/>
    <w:rsid w:val="00B814EE"/>
    <w:rsid w:val="00B814F8"/>
    <w:rsid w:val="00B81FFE"/>
    <w:rsid w:val="00B824BD"/>
    <w:rsid w:val="00B865F3"/>
    <w:rsid w:val="00B87083"/>
    <w:rsid w:val="00B8715C"/>
    <w:rsid w:val="00B872B8"/>
    <w:rsid w:val="00B906FF"/>
    <w:rsid w:val="00B91FCB"/>
    <w:rsid w:val="00B9253C"/>
    <w:rsid w:val="00B94C3B"/>
    <w:rsid w:val="00B96CF9"/>
    <w:rsid w:val="00B97C7B"/>
    <w:rsid w:val="00BA0478"/>
    <w:rsid w:val="00BA0638"/>
    <w:rsid w:val="00BA5346"/>
    <w:rsid w:val="00BA68D9"/>
    <w:rsid w:val="00BB3E90"/>
    <w:rsid w:val="00BB4993"/>
    <w:rsid w:val="00BB72FB"/>
    <w:rsid w:val="00BC28B4"/>
    <w:rsid w:val="00BC46D8"/>
    <w:rsid w:val="00BC5C4F"/>
    <w:rsid w:val="00BC627B"/>
    <w:rsid w:val="00BC6ECE"/>
    <w:rsid w:val="00BD13DE"/>
    <w:rsid w:val="00BD2190"/>
    <w:rsid w:val="00BD276F"/>
    <w:rsid w:val="00BD2F71"/>
    <w:rsid w:val="00BD4986"/>
    <w:rsid w:val="00BD55A2"/>
    <w:rsid w:val="00BD62A9"/>
    <w:rsid w:val="00BD798F"/>
    <w:rsid w:val="00BE1A4F"/>
    <w:rsid w:val="00BE270D"/>
    <w:rsid w:val="00BE31D6"/>
    <w:rsid w:val="00BE3ED9"/>
    <w:rsid w:val="00BE4B05"/>
    <w:rsid w:val="00BE7EF8"/>
    <w:rsid w:val="00BF29F4"/>
    <w:rsid w:val="00BF35F1"/>
    <w:rsid w:val="00BF5B64"/>
    <w:rsid w:val="00BF617E"/>
    <w:rsid w:val="00BF6C51"/>
    <w:rsid w:val="00C02A35"/>
    <w:rsid w:val="00C049C9"/>
    <w:rsid w:val="00C0522B"/>
    <w:rsid w:val="00C070A6"/>
    <w:rsid w:val="00C178E2"/>
    <w:rsid w:val="00C17C04"/>
    <w:rsid w:val="00C20292"/>
    <w:rsid w:val="00C205CD"/>
    <w:rsid w:val="00C2294D"/>
    <w:rsid w:val="00C277CB"/>
    <w:rsid w:val="00C3124D"/>
    <w:rsid w:val="00C31ABF"/>
    <w:rsid w:val="00C344A3"/>
    <w:rsid w:val="00C4156B"/>
    <w:rsid w:val="00C437BE"/>
    <w:rsid w:val="00C4432C"/>
    <w:rsid w:val="00C443C0"/>
    <w:rsid w:val="00C44D71"/>
    <w:rsid w:val="00C46EF2"/>
    <w:rsid w:val="00C50DC2"/>
    <w:rsid w:val="00C5182F"/>
    <w:rsid w:val="00C53245"/>
    <w:rsid w:val="00C56D0A"/>
    <w:rsid w:val="00C60ABF"/>
    <w:rsid w:val="00C6232D"/>
    <w:rsid w:val="00C62D5A"/>
    <w:rsid w:val="00C63A11"/>
    <w:rsid w:val="00C663FE"/>
    <w:rsid w:val="00C6650B"/>
    <w:rsid w:val="00C72514"/>
    <w:rsid w:val="00C74B27"/>
    <w:rsid w:val="00C76FDA"/>
    <w:rsid w:val="00C777AF"/>
    <w:rsid w:val="00C80452"/>
    <w:rsid w:val="00C8428F"/>
    <w:rsid w:val="00C847C2"/>
    <w:rsid w:val="00C871DF"/>
    <w:rsid w:val="00C92216"/>
    <w:rsid w:val="00C94C43"/>
    <w:rsid w:val="00C959ED"/>
    <w:rsid w:val="00CA1054"/>
    <w:rsid w:val="00CA1FF8"/>
    <w:rsid w:val="00CA38F6"/>
    <w:rsid w:val="00CA55B9"/>
    <w:rsid w:val="00CB4244"/>
    <w:rsid w:val="00CB4483"/>
    <w:rsid w:val="00CB63EA"/>
    <w:rsid w:val="00CB6771"/>
    <w:rsid w:val="00CB6F6F"/>
    <w:rsid w:val="00CB710E"/>
    <w:rsid w:val="00CB790D"/>
    <w:rsid w:val="00CC0501"/>
    <w:rsid w:val="00CC265B"/>
    <w:rsid w:val="00CC29B3"/>
    <w:rsid w:val="00CC4F83"/>
    <w:rsid w:val="00CC75BC"/>
    <w:rsid w:val="00CD0646"/>
    <w:rsid w:val="00CD1995"/>
    <w:rsid w:val="00CD63D7"/>
    <w:rsid w:val="00CD7BF8"/>
    <w:rsid w:val="00CE2AFE"/>
    <w:rsid w:val="00CE2BE9"/>
    <w:rsid w:val="00CE406D"/>
    <w:rsid w:val="00CE4A15"/>
    <w:rsid w:val="00CE7683"/>
    <w:rsid w:val="00CF4CD3"/>
    <w:rsid w:val="00CF72F2"/>
    <w:rsid w:val="00D016D4"/>
    <w:rsid w:val="00D04C1E"/>
    <w:rsid w:val="00D06468"/>
    <w:rsid w:val="00D070B7"/>
    <w:rsid w:val="00D112A8"/>
    <w:rsid w:val="00D12248"/>
    <w:rsid w:val="00D1641A"/>
    <w:rsid w:val="00D16B83"/>
    <w:rsid w:val="00D206A1"/>
    <w:rsid w:val="00D234F5"/>
    <w:rsid w:val="00D24B69"/>
    <w:rsid w:val="00D25981"/>
    <w:rsid w:val="00D31BDE"/>
    <w:rsid w:val="00D3735E"/>
    <w:rsid w:val="00D403EE"/>
    <w:rsid w:val="00D42F69"/>
    <w:rsid w:val="00D44D38"/>
    <w:rsid w:val="00D451DA"/>
    <w:rsid w:val="00D452F9"/>
    <w:rsid w:val="00D454D1"/>
    <w:rsid w:val="00D4787E"/>
    <w:rsid w:val="00D5255A"/>
    <w:rsid w:val="00D548BE"/>
    <w:rsid w:val="00D5623F"/>
    <w:rsid w:val="00D61852"/>
    <w:rsid w:val="00D61EDE"/>
    <w:rsid w:val="00D63037"/>
    <w:rsid w:val="00D633CF"/>
    <w:rsid w:val="00D64D06"/>
    <w:rsid w:val="00D66ADD"/>
    <w:rsid w:val="00D67FD5"/>
    <w:rsid w:val="00D72FCD"/>
    <w:rsid w:val="00D741B4"/>
    <w:rsid w:val="00D74C07"/>
    <w:rsid w:val="00D74EEE"/>
    <w:rsid w:val="00D755EB"/>
    <w:rsid w:val="00D75E08"/>
    <w:rsid w:val="00D76DEF"/>
    <w:rsid w:val="00D802E0"/>
    <w:rsid w:val="00D80C90"/>
    <w:rsid w:val="00D81A10"/>
    <w:rsid w:val="00D84270"/>
    <w:rsid w:val="00D85FD6"/>
    <w:rsid w:val="00D917F2"/>
    <w:rsid w:val="00D9235D"/>
    <w:rsid w:val="00D96CF9"/>
    <w:rsid w:val="00D97538"/>
    <w:rsid w:val="00DA12DD"/>
    <w:rsid w:val="00DA16B9"/>
    <w:rsid w:val="00DA18FF"/>
    <w:rsid w:val="00DA3269"/>
    <w:rsid w:val="00DA442E"/>
    <w:rsid w:val="00DA44EC"/>
    <w:rsid w:val="00DA4A3E"/>
    <w:rsid w:val="00DA5042"/>
    <w:rsid w:val="00DA56CF"/>
    <w:rsid w:val="00DA7B97"/>
    <w:rsid w:val="00DB2589"/>
    <w:rsid w:val="00DB2E50"/>
    <w:rsid w:val="00DB52E4"/>
    <w:rsid w:val="00DB5303"/>
    <w:rsid w:val="00DB684A"/>
    <w:rsid w:val="00DC4A9F"/>
    <w:rsid w:val="00DD0740"/>
    <w:rsid w:val="00DD2EF0"/>
    <w:rsid w:val="00DD3123"/>
    <w:rsid w:val="00DD4B9B"/>
    <w:rsid w:val="00DD52A8"/>
    <w:rsid w:val="00DD7B2B"/>
    <w:rsid w:val="00DE5031"/>
    <w:rsid w:val="00DE6D23"/>
    <w:rsid w:val="00DF214A"/>
    <w:rsid w:val="00DF23CD"/>
    <w:rsid w:val="00DF4E37"/>
    <w:rsid w:val="00DF7C0A"/>
    <w:rsid w:val="00E00B13"/>
    <w:rsid w:val="00E00E2F"/>
    <w:rsid w:val="00E00FF4"/>
    <w:rsid w:val="00E02F54"/>
    <w:rsid w:val="00E03913"/>
    <w:rsid w:val="00E04088"/>
    <w:rsid w:val="00E04D6F"/>
    <w:rsid w:val="00E05BA1"/>
    <w:rsid w:val="00E06DDC"/>
    <w:rsid w:val="00E079E5"/>
    <w:rsid w:val="00E13B62"/>
    <w:rsid w:val="00E13E3F"/>
    <w:rsid w:val="00E149DE"/>
    <w:rsid w:val="00E158AE"/>
    <w:rsid w:val="00E202DA"/>
    <w:rsid w:val="00E214CB"/>
    <w:rsid w:val="00E226A2"/>
    <w:rsid w:val="00E248D0"/>
    <w:rsid w:val="00E24EDA"/>
    <w:rsid w:val="00E25D3D"/>
    <w:rsid w:val="00E30E87"/>
    <w:rsid w:val="00E34470"/>
    <w:rsid w:val="00E36AAE"/>
    <w:rsid w:val="00E437FB"/>
    <w:rsid w:val="00E456F8"/>
    <w:rsid w:val="00E45AF9"/>
    <w:rsid w:val="00E46125"/>
    <w:rsid w:val="00E473E1"/>
    <w:rsid w:val="00E50094"/>
    <w:rsid w:val="00E509B9"/>
    <w:rsid w:val="00E5177D"/>
    <w:rsid w:val="00E55368"/>
    <w:rsid w:val="00E57502"/>
    <w:rsid w:val="00E57AA5"/>
    <w:rsid w:val="00E60E3E"/>
    <w:rsid w:val="00E632FC"/>
    <w:rsid w:val="00E651E8"/>
    <w:rsid w:val="00E70A60"/>
    <w:rsid w:val="00E722FB"/>
    <w:rsid w:val="00E73C46"/>
    <w:rsid w:val="00E7590B"/>
    <w:rsid w:val="00E83B62"/>
    <w:rsid w:val="00E85B30"/>
    <w:rsid w:val="00E864C8"/>
    <w:rsid w:val="00E905BA"/>
    <w:rsid w:val="00E94018"/>
    <w:rsid w:val="00E941C9"/>
    <w:rsid w:val="00E968C0"/>
    <w:rsid w:val="00E97767"/>
    <w:rsid w:val="00E97C10"/>
    <w:rsid w:val="00EA06D6"/>
    <w:rsid w:val="00EA21C4"/>
    <w:rsid w:val="00EA3373"/>
    <w:rsid w:val="00EA467E"/>
    <w:rsid w:val="00EA534B"/>
    <w:rsid w:val="00EB1989"/>
    <w:rsid w:val="00EB2A10"/>
    <w:rsid w:val="00EB3896"/>
    <w:rsid w:val="00EB4229"/>
    <w:rsid w:val="00EC506C"/>
    <w:rsid w:val="00EC51D2"/>
    <w:rsid w:val="00ED3365"/>
    <w:rsid w:val="00ED4653"/>
    <w:rsid w:val="00ED492C"/>
    <w:rsid w:val="00EE0ABC"/>
    <w:rsid w:val="00EE339D"/>
    <w:rsid w:val="00EE38FA"/>
    <w:rsid w:val="00EE3DDA"/>
    <w:rsid w:val="00EE5216"/>
    <w:rsid w:val="00EE616B"/>
    <w:rsid w:val="00EE70D8"/>
    <w:rsid w:val="00EF1602"/>
    <w:rsid w:val="00EF1FB3"/>
    <w:rsid w:val="00EF2EC2"/>
    <w:rsid w:val="00EF383A"/>
    <w:rsid w:val="00EF4370"/>
    <w:rsid w:val="00EF6E2C"/>
    <w:rsid w:val="00F02104"/>
    <w:rsid w:val="00F04663"/>
    <w:rsid w:val="00F057FB"/>
    <w:rsid w:val="00F05AD4"/>
    <w:rsid w:val="00F05B71"/>
    <w:rsid w:val="00F07A83"/>
    <w:rsid w:val="00F108E4"/>
    <w:rsid w:val="00F12A4D"/>
    <w:rsid w:val="00F12CB3"/>
    <w:rsid w:val="00F137E5"/>
    <w:rsid w:val="00F1639B"/>
    <w:rsid w:val="00F16A3F"/>
    <w:rsid w:val="00F20DC1"/>
    <w:rsid w:val="00F21F91"/>
    <w:rsid w:val="00F21FC6"/>
    <w:rsid w:val="00F2481C"/>
    <w:rsid w:val="00F25574"/>
    <w:rsid w:val="00F2799B"/>
    <w:rsid w:val="00F37188"/>
    <w:rsid w:val="00F3777D"/>
    <w:rsid w:val="00F42418"/>
    <w:rsid w:val="00F441A3"/>
    <w:rsid w:val="00F451E3"/>
    <w:rsid w:val="00F47659"/>
    <w:rsid w:val="00F50DE9"/>
    <w:rsid w:val="00F51759"/>
    <w:rsid w:val="00F53D23"/>
    <w:rsid w:val="00F53F2E"/>
    <w:rsid w:val="00F56D52"/>
    <w:rsid w:val="00F570E2"/>
    <w:rsid w:val="00F605F6"/>
    <w:rsid w:val="00F66B3B"/>
    <w:rsid w:val="00F67357"/>
    <w:rsid w:val="00F74A60"/>
    <w:rsid w:val="00F75830"/>
    <w:rsid w:val="00F770B2"/>
    <w:rsid w:val="00F811AF"/>
    <w:rsid w:val="00F82A1E"/>
    <w:rsid w:val="00F82A96"/>
    <w:rsid w:val="00F82DBD"/>
    <w:rsid w:val="00F83742"/>
    <w:rsid w:val="00F86FD5"/>
    <w:rsid w:val="00F91A35"/>
    <w:rsid w:val="00FA0434"/>
    <w:rsid w:val="00FA157E"/>
    <w:rsid w:val="00FA2E5D"/>
    <w:rsid w:val="00FA33FB"/>
    <w:rsid w:val="00FA4F87"/>
    <w:rsid w:val="00FA5BA2"/>
    <w:rsid w:val="00FA64E5"/>
    <w:rsid w:val="00FA7C40"/>
    <w:rsid w:val="00FB41CE"/>
    <w:rsid w:val="00FB76A5"/>
    <w:rsid w:val="00FC0CCE"/>
    <w:rsid w:val="00FC4096"/>
    <w:rsid w:val="00FC4568"/>
    <w:rsid w:val="00FC7953"/>
    <w:rsid w:val="00FD13D1"/>
    <w:rsid w:val="00FD29A4"/>
    <w:rsid w:val="00FD2DDD"/>
    <w:rsid w:val="00FD3072"/>
    <w:rsid w:val="00FD369C"/>
    <w:rsid w:val="00FD423D"/>
    <w:rsid w:val="00FD5B90"/>
    <w:rsid w:val="00FD600A"/>
    <w:rsid w:val="00FD6B43"/>
    <w:rsid w:val="00FD6C39"/>
    <w:rsid w:val="00FE0CEF"/>
    <w:rsid w:val="00FE1083"/>
    <w:rsid w:val="00FE13D7"/>
    <w:rsid w:val="00FE5075"/>
    <w:rsid w:val="00FE63A2"/>
    <w:rsid w:val="00FF031E"/>
    <w:rsid w:val="00FF1411"/>
    <w:rsid w:val="00FF210E"/>
    <w:rsid w:val="00FF3B99"/>
    <w:rsid w:val="00FF3CE4"/>
    <w:rsid w:val="00FF41C0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FD"/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85A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styleId="a3">
    <w:name w:val="footnote reference"/>
    <w:basedOn w:val="a0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5AF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AFD"/>
    <w:rPr>
      <w:rFonts w:asciiTheme="minorHAnsi" w:hAnsiTheme="minorHAns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AFD"/>
    <w:rPr>
      <w:rFonts w:asciiTheme="minorHAnsi" w:hAnsiTheme="minorHAns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">
    <w:name w:val="Основной текст 3 Знак"/>
    <w:basedOn w:val="a0"/>
    <w:link w:val="30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0">
    <w:name w:val="Body Text 3"/>
    <w:basedOn w:val="a"/>
    <w:link w:val="3"/>
    <w:unhideWhenUsed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585AFD"/>
    <w:rPr>
      <w:rFonts w:asciiTheme="minorHAnsi" w:hAnsiTheme="minorHAnsi"/>
      <w:sz w:val="16"/>
      <w:szCs w:val="16"/>
    </w:rPr>
  </w:style>
  <w:style w:type="character" w:customStyle="1" w:styleId="af4">
    <w:name w:val="Текст Знак"/>
    <w:aliases w:val="Знак Знак Знак, Знак Знак Знак"/>
    <w:basedOn w:val="a0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585AFD"/>
    <w:rPr>
      <w:rFonts w:asciiTheme="minorHAnsi" w:hAnsiTheme="minorHAns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basedOn w:val="a0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E24E5"/>
    <w:rPr>
      <w:rFonts w:asciiTheme="minorHAnsi" w:hAnsiTheme="minorHAnsi"/>
      <w:sz w:val="22"/>
    </w:rPr>
  </w:style>
  <w:style w:type="paragraph" w:styleId="afb">
    <w:name w:val="No Spacing"/>
    <w:uiPriority w:val="1"/>
    <w:qFormat/>
    <w:rsid w:val="005D1AE1"/>
    <w:pPr>
      <w:spacing w:after="0" w:line="240" w:lineRule="auto"/>
    </w:pPr>
    <w:rPr>
      <w:rFonts w:eastAsia="Times New Roman" w:cs="Times New Roman"/>
      <w:bCs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14D07E64C41A5A710C662583DACBD3C6082A2E04FBA40D9E30621CA420431CE7E387FFEE88CAB35w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C14D07E64C41A5A710C662583DACBD3C6082A2E04FBA40D9E30621CA34w2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E8B2C5-AA59-4411-95A6-A5D32500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2017-12-19T12:30:00Z</dcterms:created>
  <dcterms:modified xsi:type="dcterms:W3CDTF">2017-12-19T12:30:00Z</dcterms:modified>
</cp:coreProperties>
</file>