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D55A2">
        <w:rPr>
          <w:rFonts w:ascii="Times New Roman" w:hAnsi="Times New Roman" w:cs="Times New Roman"/>
          <w:bCs/>
          <w:sz w:val="28"/>
          <w:szCs w:val="28"/>
        </w:rPr>
        <w:t>. Ведомственная целевая программа</w:t>
      </w:r>
    </w:p>
    <w:p w:rsidR="0008601D" w:rsidRPr="00BD55A2" w:rsidRDefault="001E21A5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="0008601D" w:rsidRPr="00BD55A2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="0008601D" w:rsidRPr="00BD55A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B52E4" w:rsidRPr="00BD55A2">
        <w:rPr>
          <w:rFonts w:ascii="Times New Roman" w:hAnsi="Times New Roman" w:cs="Times New Roman"/>
          <w:bCs/>
          <w:sz w:val="28"/>
          <w:szCs w:val="28"/>
        </w:rPr>
        <w:t>2014-2019</w:t>
      </w:r>
      <w:r w:rsidR="0008601D" w:rsidRPr="00BD55A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Паспорт ВЦП</w:t>
      </w:r>
    </w:p>
    <w:p w:rsidR="00E13E3F" w:rsidRPr="00BD55A2" w:rsidRDefault="00E13E3F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04"/>
        <w:gridCol w:w="6384"/>
      </w:tblGrid>
      <w:tr w:rsidR="00B259E0" w:rsidRPr="00BD55A2" w:rsidTr="0024356F">
        <w:trPr>
          <w:trHeight w:val="866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BD5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B52E4"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BD55A2" w:rsidTr="0024356F">
        <w:trPr>
          <w:trHeight w:val="691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C" w:rsidRPr="00BD55A2" w:rsidRDefault="00437A62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B259E0" w:rsidRPr="00BD55A2" w:rsidTr="00DB2589">
        <w:trPr>
          <w:trHeight w:val="249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Задачи ВЦП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E0" w:rsidRPr="00BD55A2" w:rsidTr="0024356F">
        <w:trPr>
          <w:trHeight w:val="346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ВЦП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08601D" w:rsidRPr="00BD55A2" w:rsidRDefault="00437A62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>. Количество объектов бесхозяйного имущества, принятых в муниципальную собственность.</w:t>
            </w:r>
          </w:p>
          <w:p w:rsidR="0008601D" w:rsidRPr="00BD55A2" w:rsidRDefault="00437A62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A9A"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работ, выполненных в целях повышения эффективности использования муниципального имущества и земельных участков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>. Количество открытых акционерных обществ, в отношении которых произведена процедура увеличения уставного капитала.</w:t>
            </w:r>
          </w:p>
          <w:p w:rsidR="0008601D" w:rsidRPr="00BD55A2" w:rsidRDefault="00437A62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01D"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жилых помещений, приобретенных с целью п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>ополнения муниципального специализированного жилищного фонда.</w:t>
            </w:r>
          </w:p>
          <w:p w:rsidR="0008601D" w:rsidRPr="00BD55A2" w:rsidRDefault="00437A62" w:rsidP="00BD55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муниципальных унитарных предприятий города Мурманска, в отношении которых произведена процедура формирования (увеличения) уставного фонда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2FB" w:rsidRPr="00BD55A2" w:rsidRDefault="00437A62" w:rsidP="00BD55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E3F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приобретенных производственных баз для ремонта, обслуживания и хранения общественного транспорта, ед.</w:t>
            </w:r>
          </w:p>
        </w:tc>
      </w:tr>
      <w:tr w:rsidR="00B259E0" w:rsidRPr="00BD55A2" w:rsidTr="0024356F">
        <w:trPr>
          <w:trHeight w:val="387"/>
          <w:tblCellSpacing w:w="5" w:type="nil"/>
        </w:trPr>
        <w:tc>
          <w:tcPr>
            <w:tcW w:w="1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BD55A2" w:rsidTr="0024356F">
        <w:trPr>
          <w:trHeight w:val="571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DB52E4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486D" w:rsidRPr="00BD55A2" w:rsidTr="0024356F">
        <w:trPr>
          <w:trHeight w:val="415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D" w:rsidRPr="00BD55A2" w:rsidRDefault="008A486D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 850 180,0 тыс. руб., в том числе: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МБ: 850 180,0 тыс. руб., из них: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 год – 162 269,9 тыс. руб.; 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 год – 286 956,6 тыс. руб.; 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 год – 78 008,3 тыс. руб.; 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 год – 131 203,4 тыс. руб.; </w:t>
            </w:r>
          </w:p>
          <w:p w:rsidR="00D452F9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2018 год – 95 943,9 тыс. руб.; </w:t>
            </w:r>
          </w:p>
          <w:p w:rsidR="008A486D" w:rsidRPr="00BD55A2" w:rsidRDefault="00D452F9" w:rsidP="00BD55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2019 год – 95 797,9тыс. руб.</w:t>
            </w:r>
            <w:r w:rsidRPr="00BD55A2">
              <w:rPr>
                <w:sz w:val="24"/>
                <w:szCs w:val="24"/>
              </w:rPr>
              <w:t> </w:t>
            </w:r>
          </w:p>
        </w:tc>
      </w:tr>
      <w:tr w:rsidR="00B259E0" w:rsidRPr="00BD55A2" w:rsidTr="0024356F">
        <w:trPr>
          <w:trHeight w:val="400"/>
          <w:tblCellSpacing w:w="5" w:type="nil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ВЦП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объектов муниципального имущества, вовлеченных в хозяйственный оборот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использ</w:t>
            </w:r>
            <w:r w:rsidR="00E13B62" w:rsidRPr="00BD55A2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муниципального имущества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объектов бесхозяйного имущества на территории города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AB4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4. Увеличение уставных капитал</w:t>
            </w:r>
            <w:r w:rsidR="00E13B62" w:rsidRPr="00BD55A2">
              <w:rPr>
                <w:rFonts w:ascii="Times New Roman" w:hAnsi="Times New Roman" w:cs="Times New Roman"/>
                <w:sz w:val="24"/>
                <w:szCs w:val="24"/>
              </w:rPr>
              <w:t>ов открытых акционерных обществ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01D" w:rsidRPr="00BD55A2" w:rsidRDefault="003F2AB4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Приобретение жилых помещений для отнесения их к специализированным жилым помещениям</w:t>
            </w:r>
            <w:r w:rsidR="00DB2589"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01D" w:rsidRPr="00BD55A2" w:rsidRDefault="003F2AB4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F40" w:rsidRPr="00BD55A2">
              <w:rPr>
                <w:rFonts w:ascii="Times New Roman" w:hAnsi="Times New Roman" w:cs="Times New Roman"/>
                <w:sz w:val="24"/>
                <w:szCs w:val="24"/>
              </w:rPr>
              <w:t>Осуществление проц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едуры формирования (увеличения) у</w:t>
            </w:r>
            <w:r w:rsidR="0008601D" w:rsidRPr="00BD55A2">
              <w:rPr>
                <w:rFonts w:ascii="Times New Roman" w:hAnsi="Times New Roman" w:cs="Times New Roman"/>
                <w:sz w:val="24"/>
                <w:szCs w:val="24"/>
              </w:rPr>
              <w:t>величение уставных фондов муниципальных унитарных предприятий</w:t>
            </w:r>
            <w:r w:rsidR="00E13B62"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</w:t>
            </w:r>
            <w:r w:rsidR="00DB2589" w:rsidRPr="00BD5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759" w:rsidRPr="00BD55A2" w:rsidRDefault="00F51759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производственной базы для ремонта, обслуживания и хранения общественного транспорта</w:t>
            </w:r>
            <w:r w:rsidR="00DD0740" w:rsidRPr="00B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A5D" w:rsidRPr="00BD55A2" w:rsidRDefault="00DD0740" w:rsidP="00BD55A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автоматизации процесса по сбору и обработке информации, учитываемой в реестре муниципального имущества</w:t>
            </w:r>
          </w:p>
        </w:tc>
      </w:tr>
    </w:tbl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1. Характеристика проблемы, на решение которой направлена ВЦП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использовании объектов в качестве предмета залога;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переуступке долговых обязательств, связанных с объектами;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- при приеме в собственность муниципального образования город Мурманск бесхозяйного недвижимого имущества; 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- при постановке иных объектов на учет (включении в реестр муниципального имущества города Мурманска).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согласно ст. 17.1 Федерального закона от 29.07.1998№ 135-ФЗ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Об оценочной деятельности в Российской Федерации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По состоянию на 01.08.2013 в составе муниципальной казны города Мурманска находится следующее недвижимое имущество:</w:t>
      </w:r>
    </w:p>
    <w:p w:rsidR="000678C3" w:rsidRPr="00BD55A2" w:rsidRDefault="000678C3" w:rsidP="00BD55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1"/>
        <w:gridCol w:w="5562"/>
        <w:gridCol w:w="3635"/>
      </w:tblGrid>
      <w:tr w:rsidR="00B259E0" w:rsidRPr="00BD55A2" w:rsidTr="0024356F">
        <w:trPr>
          <w:trHeight w:val="317"/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18 207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1 413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B259E0" w:rsidRPr="00BD55A2" w:rsidTr="0024356F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21 227</w:t>
            </w:r>
          </w:p>
        </w:tc>
      </w:tr>
    </w:tbl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недвижимое имущество и т.д.), а также для обеспечения государственной регистрации прав.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Также ВЦП определяет действия комитета имущественных отношений города Мурманска по обеспечению деятельности Мурманского муниципального бюджетного учреждения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Центр по контролю за использованием муниципального имущества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>, направленные на создание условий для вовлечения в хозяйственный оборот объектов муниципального имущества, снижение уровня имеющейся задолженности по арендой плате, количества земельных участков, используемых не по назначению, и проверку обоснованности сумм исковых требований о взыскании стоимости оказанных услуг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по содержанию общего долевого имущества и коммунальных услуг, предъявленных к муниципальному образованию город Мурманск, что позволит повысить эффективность муниципального управления в целом.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целях решения вопроса о создании на базе ОАО 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«</w:t>
      </w:r>
      <w:r w:rsidRPr="00BD55A2">
        <w:rPr>
          <w:rFonts w:ascii="Times New Roman" w:hAnsi="Times New Roman" w:cs="Times New Roman"/>
          <w:bCs/>
          <w:sz w:val="28"/>
          <w:szCs w:val="28"/>
        </w:rPr>
        <w:t>Электротранспорт</w:t>
      </w:r>
      <w:r w:rsidR="001E21A5" w:rsidRPr="00BD55A2">
        <w:rPr>
          <w:rFonts w:ascii="Times New Roman" w:hAnsi="Times New Roman" w:cs="Times New Roman"/>
          <w:bCs/>
          <w:sz w:val="28"/>
          <w:szCs w:val="28"/>
        </w:rPr>
        <w:t>»</w:t>
      </w:r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подразделения по автобусному обслуживанию населения, в частности для приобретения необходимого количества автобусов и создания (ремонта) производственной базы, в 2014 году было запланировано увеличение уставного капитала указанного общества.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В 2014 году был заключен договор купли-продажи акций, в соответствии с которым в качестве вклада в уставный капитал общества было передано недвижимое имущество и денежные средства в сумме 130 000,0 тыс. руб. 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Так как данная задача обществом была решена, а эмиссия акций в 2014 году не состоялась, процедура дополнительной эмиссии акций с соблюдением требований, установленных законодательством РФ, будет проведена в 2015 году.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В настоящее время в муниципальном образовании город Мурманск имеется 317 жилых помещений, отнесенных к </w:t>
      </w:r>
      <w:proofErr w:type="gramStart"/>
      <w:r w:rsidRPr="00BD55A2">
        <w:rPr>
          <w:rFonts w:ascii="Times New Roman" w:hAnsi="Times New Roman"/>
        </w:rPr>
        <w:t>маневренным</w:t>
      </w:r>
      <w:proofErr w:type="gramEnd"/>
      <w:r w:rsidRPr="00BD55A2">
        <w:rPr>
          <w:rFonts w:ascii="Times New Roman" w:hAnsi="Times New Roman"/>
        </w:rPr>
        <w:t>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Все указанные жилые помещения в настоящее время заселены гражданами. Свободные жилые помещения, отнесенные к </w:t>
      </w:r>
      <w:proofErr w:type="gramStart"/>
      <w:r w:rsidRPr="00BD55A2">
        <w:rPr>
          <w:rFonts w:ascii="Times New Roman" w:hAnsi="Times New Roman"/>
        </w:rPr>
        <w:t>маневренным</w:t>
      </w:r>
      <w:proofErr w:type="gramEnd"/>
      <w:r w:rsidRPr="00BD55A2">
        <w:rPr>
          <w:rFonts w:ascii="Times New Roman" w:hAnsi="Times New Roman"/>
        </w:rPr>
        <w:t>, отсутствуют.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В настоящее время в комите</w:t>
      </w:r>
      <w:r w:rsidR="00360F62" w:rsidRPr="00BD55A2">
        <w:rPr>
          <w:rFonts w:ascii="Times New Roman" w:hAnsi="Times New Roman"/>
        </w:rPr>
        <w:t xml:space="preserve">те находится на рассмотрении 63 </w:t>
      </w:r>
      <w:r w:rsidRPr="00BD55A2">
        <w:rPr>
          <w:rFonts w:ascii="Times New Roman" w:hAnsi="Times New Roman"/>
        </w:rPr>
        <w:t xml:space="preserve">обращения на предоставление помещений маневренного фонда 157 жителям города, предоставить которые не представляется возможным в связи с отсутствием таковых. 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Количество освобождаемых маневренных жилых помещений недостаточно, в </w:t>
      </w:r>
      <w:proofErr w:type="gramStart"/>
      <w:r w:rsidRPr="00BD55A2">
        <w:rPr>
          <w:rFonts w:ascii="Times New Roman" w:hAnsi="Times New Roman"/>
        </w:rPr>
        <w:t>связи</w:t>
      </w:r>
      <w:proofErr w:type="gramEnd"/>
      <w:r w:rsidRPr="00BD55A2">
        <w:rPr>
          <w:rFonts w:ascii="Times New Roman" w:hAnsi="Times New Roman"/>
        </w:rPr>
        <w:t xml:space="preserve">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>В целях обеспечения повышения эффективности деятельности муниципальных унитарных предприятий города Мурманска в 2015 году планируется увеличение уставного фонда Мурманского муницип</w:t>
      </w:r>
      <w:r w:rsidR="00F51759" w:rsidRPr="00BD55A2">
        <w:rPr>
          <w:rFonts w:ascii="Times New Roman" w:hAnsi="Times New Roman"/>
        </w:rPr>
        <w:t xml:space="preserve">ального унитарного предприятия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Центр</w:t>
      </w:r>
      <w:r w:rsidR="00F51759" w:rsidRPr="00BD55A2">
        <w:rPr>
          <w:rFonts w:ascii="Times New Roman" w:hAnsi="Times New Roman"/>
        </w:rPr>
        <w:t xml:space="preserve"> временного содержания животных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в связи с необходимостью приобретения автомобильного прицепа для транспортирования животных, оставленных без попечения и не имеющих непосредственного надзора со стороны собственника (владельца), в том числе бродячих и одичавших.</w:t>
      </w:r>
      <w:proofErr w:type="gramEnd"/>
    </w:p>
    <w:p w:rsidR="00360F62" w:rsidRPr="00BD55A2" w:rsidRDefault="00360F62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ОАО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Электротранспорт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осуществляет перевозки пассажиров в городе Мурманске транспортом большой вместимости по 19 социально-значимым автобусным и троллейбусным маршрутам. На рынке транспортных услуг доля перевозимых пассажиров составляет более 75%. В сегменте перевозки транспортом большой вместимости</w:t>
      </w:r>
      <w:r w:rsidR="00DD7B2B" w:rsidRPr="00BD55A2">
        <w:rPr>
          <w:rFonts w:ascii="Times New Roman" w:hAnsi="Times New Roman"/>
        </w:rPr>
        <w:t xml:space="preserve"> – </w:t>
      </w:r>
      <w:r w:rsidRPr="00BD55A2">
        <w:rPr>
          <w:rFonts w:ascii="Times New Roman" w:hAnsi="Times New Roman"/>
        </w:rPr>
        <w:t>100%. Годовая перевозка пассажиров увеличивается и составляет около 50 млн. человек.</w:t>
      </w:r>
    </w:p>
    <w:p w:rsidR="00360F62" w:rsidRPr="00BD55A2" w:rsidRDefault="00360F62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ОАО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Электротранспорт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имеет 3 производственные площадки, предназначенные для обслуживания и ремонта троллейбусов, автобусов и специализированной техники.</w:t>
      </w:r>
    </w:p>
    <w:p w:rsidR="00360F62" w:rsidRPr="00BD55A2" w:rsidRDefault="00360F62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Вместе с тем, ОАО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Электротранспорт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на сегодняшний день производит подготовку подвижного состава к работе на линии в стесненных условиях и остро испытывает нехватку производственных мощностей для ремонта и обслуживания, а </w:t>
      </w:r>
      <w:r w:rsidR="00853343" w:rsidRPr="00BD55A2">
        <w:rPr>
          <w:rFonts w:ascii="Times New Roman" w:hAnsi="Times New Roman"/>
        </w:rPr>
        <w:t>также</w:t>
      </w:r>
      <w:r w:rsidRPr="00BD55A2">
        <w:rPr>
          <w:rFonts w:ascii="Times New Roman" w:hAnsi="Times New Roman"/>
        </w:rPr>
        <w:t xml:space="preserve"> недостаток территорий для безопасного хранения авто и электротранспорта. </w:t>
      </w:r>
    </w:p>
    <w:p w:rsidR="00360F62" w:rsidRPr="00BD55A2" w:rsidRDefault="00360F62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Для нормальной работы предприятия необходимо увеличение производственных мощностей и расширение территорий уже на существующий объем движения. </w:t>
      </w:r>
    </w:p>
    <w:p w:rsidR="00360F62" w:rsidRPr="00BD55A2" w:rsidRDefault="00360F62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В соответствии с Федеральным законом от 06.10.20</w:t>
      </w:r>
      <w:r w:rsidR="00DB2589" w:rsidRPr="00BD55A2">
        <w:rPr>
          <w:rFonts w:ascii="Times New Roman" w:hAnsi="Times New Roman"/>
        </w:rPr>
        <w:t>0</w:t>
      </w:r>
      <w:r w:rsidRPr="00BD55A2">
        <w:rPr>
          <w:rFonts w:ascii="Times New Roman" w:hAnsi="Times New Roman"/>
        </w:rPr>
        <w:t xml:space="preserve">3 №131-ФЗ </w:t>
      </w:r>
      <w:r w:rsidR="000678C3" w:rsidRPr="00BD55A2">
        <w:rPr>
          <w:rFonts w:ascii="Times New Roman" w:hAnsi="Times New Roman"/>
        </w:rPr>
        <w:br/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к вопросам 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FD2DDD" w:rsidRPr="00BD55A2" w:rsidRDefault="00FD2DD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Учитывая изложенное, в 2015 году запланировано приобретение производственной базы для ремонта, обслуживания и хранения общественного транспорта в целях создания условий для предоставления транспортных услуг населению и организации транспортного обслуживания населения города Мурманска.</w:t>
      </w:r>
    </w:p>
    <w:p w:rsidR="00FD2DDD" w:rsidRPr="00BD55A2" w:rsidRDefault="00FD2DD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По результатам выполнения указанного </w:t>
      </w:r>
      <w:r w:rsidR="00853343" w:rsidRPr="00BD55A2">
        <w:rPr>
          <w:rFonts w:ascii="Times New Roman" w:hAnsi="Times New Roman"/>
        </w:rPr>
        <w:t>мероприятия, производственная</w:t>
      </w:r>
      <w:r w:rsidRPr="00BD55A2">
        <w:rPr>
          <w:rFonts w:ascii="Times New Roman" w:hAnsi="Times New Roman"/>
        </w:rPr>
        <w:t xml:space="preserve"> база планируется к передаче в собственность ОАО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Электротранспорт города Мурманска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путем увеличения уставного капитала общества. </w:t>
      </w:r>
    </w:p>
    <w:p w:rsidR="005621B8" w:rsidRPr="00BD55A2" w:rsidRDefault="00FD2DD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Для осуществления мероприятий по приведению производственной базы под конкретные требования общества, предусмотрены бюджетные ассигнования на 2016 год на увеличение уставного капитала                            ОАО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Электротранспорт города Мурманска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>.</w:t>
      </w:r>
    </w:p>
    <w:p w:rsidR="00FD2DDD" w:rsidRPr="00BD55A2" w:rsidRDefault="00BB72FB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 xml:space="preserve">В 2016 году для организации нормальной эксплуатации автотранспортных средств, закрепленных за ММБУ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Управление по обеспечению деятельности органов местного самоуправления города Мурманска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>, поддержания их в технически исправном состоянии, проведения работ по техническому обслуживанию и ремонту, проведения ежедневного контроля перед выездом на линию, обеспечения стоянки, исключающей доступ к ним посторонних лиц, запланировано приобретение недвижимого имущества (помещения, строения, здания, сооружения).</w:t>
      </w:r>
      <w:proofErr w:type="gramEnd"/>
    </w:p>
    <w:p w:rsidR="00BB72FB" w:rsidRPr="00BD55A2" w:rsidRDefault="00BB72FB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 xml:space="preserve">В связи с прекращением с 01.01.2017 срока действия перечня видов деятельности № 14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базового (отраслевого) перечня государственных и муниципальных услуг и работ, включающий в себя работу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Административное обеспечение деятельности организации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 (Вид деятельности учреждения, код вида деятельности учреждения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Государственные (муниципальные) услуги (работы), осуществление которых</w:t>
      </w:r>
      <w:proofErr w:type="gramEnd"/>
      <w:r w:rsidRPr="00BD55A2">
        <w:rPr>
          <w:rFonts w:ascii="Times New Roman" w:hAnsi="Times New Roman"/>
        </w:rPr>
        <w:t xml:space="preserve"> предусмотрено бюджетным законодательством Российской Федерации и не отнесенные к иным видам деятельности, 14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 xml:space="preserve">, реестровый номер работы 14004100601400000000106, код работы 14.004.1), </w:t>
      </w:r>
      <w:proofErr w:type="gramStart"/>
      <w:r w:rsidRPr="00BD55A2">
        <w:rPr>
          <w:rFonts w:ascii="Times New Roman" w:hAnsi="Times New Roman"/>
        </w:rPr>
        <w:t>выполняемую</w:t>
      </w:r>
      <w:proofErr w:type="gramEnd"/>
      <w:r w:rsidRPr="00BD55A2">
        <w:rPr>
          <w:rFonts w:ascii="Times New Roman" w:hAnsi="Times New Roman"/>
        </w:rPr>
        <w:t xml:space="preserve"> ММБУ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ЦКИМИ</w:t>
      </w:r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>, будет изменен тип учреждения на казённое.</w:t>
      </w:r>
    </w:p>
    <w:p w:rsidR="009C2384" w:rsidRPr="00BD55A2" w:rsidRDefault="009C2384" w:rsidP="00BD55A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BD55A2">
        <w:rPr>
          <w:rFonts w:ascii="Times New Roman" w:hAnsi="Times New Roman"/>
          <w:color w:val="000000" w:themeColor="text1"/>
        </w:rPr>
        <w:t>Также с 01.01.2017 ММКУ «ЦКИМИ» будет наделено дополнительным полномочием – внесением, от имени муниципального образования город Мурманск,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</w:t>
      </w:r>
      <w:proofErr w:type="gramEnd"/>
      <w:r w:rsidRPr="00BD55A2">
        <w:rPr>
          <w:rFonts w:ascii="Times New Roman" w:hAnsi="Times New Roman"/>
          <w:color w:val="000000" w:themeColor="text1"/>
        </w:rPr>
        <w:t xml:space="preserve"> помещений, закрепленных за муниципальными учреждениями и предприятиями на праве оперативного управления и хозяйственного ведения).</w:t>
      </w:r>
    </w:p>
    <w:p w:rsidR="000D7A5D" w:rsidRPr="00BD55A2" w:rsidRDefault="009C2384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  <w:color w:val="000000" w:themeColor="text1"/>
        </w:rPr>
        <w:t>Наделение ММКУ «ЦКИМИ» указанным полномочием обуславливается необходимостью исполнения муниципальным образованием город Мурманск обязанности по несению расходов, предусмотренных статьей 210 Гражданского кодекса Российской Федерации, статьями 153-155 Жилищного кодекса Российской Федерации, и исходя из положений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BB72FB" w:rsidRPr="00BD55A2" w:rsidRDefault="00BB72FB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В 2017 году запланировано </w:t>
      </w:r>
      <w:r w:rsidR="007B721D" w:rsidRPr="00BD55A2">
        <w:rPr>
          <w:rFonts w:ascii="Times New Roman" w:hAnsi="Times New Roman"/>
        </w:rPr>
        <w:t>приобретение, внедрение и эксплуатация автоматизированной системы управления муниципальной собственностью</w:t>
      </w:r>
      <w:r w:rsidRPr="00BD55A2">
        <w:rPr>
          <w:rFonts w:ascii="Times New Roman" w:hAnsi="Times New Roman"/>
        </w:rPr>
        <w:t>, обеспечивающей повышение эффективности качества управления земельно-имущественным комплексом города.</w:t>
      </w:r>
    </w:p>
    <w:p w:rsidR="00BB72FB" w:rsidRPr="00BD55A2" w:rsidRDefault="00BB72FB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 xml:space="preserve">Данный программный продукт </w:t>
      </w:r>
      <w:r w:rsidR="007B721D" w:rsidRPr="00BD55A2">
        <w:rPr>
          <w:rFonts w:ascii="Times New Roman" w:hAnsi="Times New Roman"/>
        </w:rPr>
        <w:t xml:space="preserve">будет </w:t>
      </w:r>
      <w:r w:rsidRPr="00BD55A2">
        <w:rPr>
          <w:rFonts w:ascii="Times New Roman" w:hAnsi="Times New Roman"/>
        </w:rPr>
        <w:t xml:space="preserve">обеспечивать единую систему учета имущественных и земельных отношений в соответствии с приказом Минэкономразвития РФ от 30.08.2011 № 424 и нормами действующего законодательства, регламентирующими иные функции </w:t>
      </w:r>
      <w:r w:rsidR="00186B97" w:rsidRPr="00BD55A2">
        <w:rPr>
          <w:rFonts w:ascii="Times New Roman" w:hAnsi="Times New Roman"/>
        </w:rPr>
        <w:t>КИО</w:t>
      </w:r>
      <w:r w:rsidRPr="00BD55A2">
        <w:rPr>
          <w:rFonts w:ascii="Times New Roman" w:hAnsi="Times New Roman"/>
        </w:rPr>
        <w:t>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DD0740" w:rsidRPr="00BD55A2" w:rsidRDefault="00DD0740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2. Основные цели и задачи ВЦП, целевые показатели (индикаторы) реализации ВЦП</w:t>
      </w:r>
    </w:p>
    <w:p w:rsidR="000678C3" w:rsidRPr="00BD55A2" w:rsidRDefault="000678C3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6"/>
        <w:gridCol w:w="2610"/>
        <w:gridCol w:w="590"/>
        <w:gridCol w:w="1200"/>
        <w:gridCol w:w="1102"/>
        <w:gridCol w:w="634"/>
        <w:gridCol w:w="634"/>
        <w:gridCol w:w="634"/>
        <w:gridCol w:w="634"/>
        <w:gridCol w:w="634"/>
        <w:gridCol w:w="630"/>
      </w:tblGrid>
      <w:tr w:rsidR="00B259E0" w:rsidRPr="00BD55A2" w:rsidTr="00A901DA">
        <w:trPr>
          <w:trHeight w:val="275"/>
          <w:tblHeader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BD55A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BD55A2" w:rsidTr="00A901DA">
        <w:trPr>
          <w:trHeight w:val="250"/>
          <w:tblHeader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D" w:rsidRPr="00BD55A2" w:rsidRDefault="0008601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Годы реализации ВЦП</w:t>
            </w:r>
          </w:p>
        </w:tc>
      </w:tr>
      <w:tr w:rsidR="002349BF" w:rsidRPr="00BD55A2" w:rsidTr="000678C3">
        <w:trPr>
          <w:trHeight w:val="250"/>
          <w:tblHeader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49BF" w:rsidRPr="00BD55A2" w:rsidTr="000678C3">
        <w:trPr>
          <w:trHeight w:val="98"/>
          <w:tblHeader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49BF" w:rsidRPr="00BD55A2" w:rsidTr="00A901DA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2349BF" w:rsidRPr="00BD55A2" w:rsidTr="00A901DA">
        <w:trPr>
          <w:trHeight w:val="320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BF" w:rsidRPr="00BD55A2" w:rsidRDefault="002349BF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E6D23" w:rsidRPr="00BD55A2" w:rsidTr="00A901DA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23" w:rsidRPr="00BD55A2" w:rsidRDefault="00DE6D23" w:rsidP="00BD55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обследованных объектов муниципального имущества (помещений и земельных участков), по </w:t>
            </w:r>
            <w:proofErr w:type="gramStart"/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 которых предоставлены сведения в комитет имущественных отношений города Мурманска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23" w:rsidRPr="00BD55A2" w:rsidRDefault="00DE6D23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D55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1570</w:t>
            </w:r>
          </w:p>
        </w:tc>
      </w:tr>
    </w:tbl>
    <w:p w:rsidR="000A55FA" w:rsidRPr="00BD55A2" w:rsidRDefault="000A55FA" w:rsidP="00BD55A2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ВЦП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бюджетных средств по ВЦП является комитет имущественных отношений города Мурманска. 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программных мероприятий и показателей результативности их выполнения приведен в приложении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настоящей ВЦП.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ВЦП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Финансирование ВЦП планируется осуществлять за счет средств бюджета муниципального образования город Мурманск и внебюджетных средств.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>Расчет объема финансовых средств, необходимых для реализации ВЦП в части приобретения жилых помещений с целью пополнения муниципального специализированного жилищного фонда произведен с использованием стоимости одного квадратного метра общей площади благоустроенного жилья на 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Pr="00BD55A2">
        <w:rPr>
          <w:rFonts w:ascii="Times New Roman" w:hAnsi="Times New Roman"/>
        </w:rPr>
        <w:t>Мурманскстат</w:t>
      </w:r>
      <w:proofErr w:type="spellEnd"/>
      <w:r w:rsidRPr="00BD55A2">
        <w:rPr>
          <w:rFonts w:ascii="Times New Roman" w:hAnsi="Times New Roman"/>
        </w:rPr>
        <w:t>) о средней цене за один квадратный метр общей площади</w:t>
      </w:r>
      <w:proofErr w:type="gramEnd"/>
      <w:r w:rsidRPr="00BD55A2">
        <w:rPr>
          <w:rFonts w:ascii="Times New Roman" w:hAnsi="Times New Roman"/>
        </w:rPr>
        <w:t xml:space="preserve"> квартир на вторичном рынке жилья в городе Мурманске в 1 и 2 квартале 2015 года.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Для определения объема финансовых средств, необходимых для реализации ВЦП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ВЦП установлена в размере: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- при приобретении жилых помещений путем участия в долевом строительстве</w:t>
      </w:r>
      <w:r w:rsidR="00B81FFE" w:rsidRPr="00BD55A2">
        <w:rPr>
          <w:rFonts w:ascii="Times New Roman" w:hAnsi="Times New Roman"/>
        </w:rPr>
        <w:t>–</w:t>
      </w:r>
      <w:r w:rsidRPr="00BD55A2">
        <w:rPr>
          <w:rFonts w:ascii="Times New Roman" w:hAnsi="Times New Roman"/>
        </w:rPr>
        <w:t>55,0 тыс. руб.;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- при приобретении жилых помещений на первичном рынке жилья</w:t>
      </w:r>
      <w:r w:rsidR="004E4EE5" w:rsidRPr="00BD55A2">
        <w:rPr>
          <w:rFonts w:ascii="Times New Roman" w:hAnsi="Times New Roman"/>
        </w:rPr>
        <w:br/>
        <w:t>–</w:t>
      </w:r>
      <w:r w:rsidRPr="00BD55A2">
        <w:rPr>
          <w:rFonts w:ascii="Times New Roman" w:hAnsi="Times New Roman"/>
        </w:rPr>
        <w:t>55,0 тыс. руб.;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r w:rsidRPr="00BD55A2">
        <w:rPr>
          <w:rFonts w:ascii="Times New Roman" w:hAnsi="Times New Roman"/>
        </w:rPr>
        <w:t>- при приобретении жилых помещений на вторичном рынке жилья</w:t>
      </w:r>
      <w:r w:rsidR="00E437FB" w:rsidRPr="00BD55A2">
        <w:rPr>
          <w:rFonts w:ascii="Times New Roman" w:hAnsi="Times New Roman"/>
        </w:rPr>
        <w:t>-</w:t>
      </w:r>
      <w:r w:rsidRPr="00BD55A2">
        <w:rPr>
          <w:rFonts w:ascii="Times New Roman" w:hAnsi="Times New Roman"/>
        </w:rPr>
        <w:t xml:space="preserve">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</w:t>
      </w:r>
      <w:hyperlink r:id="rId8" w:history="1">
        <w:r w:rsidRPr="00BD55A2">
          <w:rPr>
            <w:rFonts w:ascii="Times New Roman" w:hAnsi="Times New Roman"/>
          </w:rPr>
          <w:t>статьей 22</w:t>
        </w:r>
      </w:hyperlink>
      <w:r w:rsidRPr="00BD55A2">
        <w:rPr>
          <w:rFonts w:ascii="Times New Roman" w:hAnsi="Times New Roman"/>
        </w:rPr>
        <w:t xml:space="preserve"> Федеральног</w:t>
      </w:r>
      <w:r w:rsidR="00586665" w:rsidRPr="00BD55A2">
        <w:rPr>
          <w:rFonts w:ascii="Times New Roman" w:hAnsi="Times New Roman"/>
        </w:rPr>
        <w:t xml:space="preserve">о закона от 05.04.2013 № 44-ФЗ </w:t>
      </w:r>
      <w:r w:rsidR="001E21A5" w:rsidRPr="00BD55A2">
        <w:rPr>
          <w:rFonts w:ascii="Times New Roman" w:hAnsi="Times New Roman"/>
        </w:rPr>
        <w:t>«</w:t>
      </w:r>
      <w:r w:rsidRPr="00BD55A2">
        <w:rPr>
          <w:rFonts w:ascii="Times New Roman" w:hAnsi="Times New Roman"/>
        </w:rPr>
        <w:t>О контрактной системе в сфере закупок товаров, работ, услуг для обеспечения госуда</w:t>
      </w:r>
      <w:r w:rsidR="00586665" w:rsidRPr="00BD55A2">
        <w:rPr>
          <w:rFonts w:ascii="Times New Roman" w:hAnsi="Times New Roman"/>
        </w:rPr>
        <w:t>рственных и муниципальных нужд</w:t>
      </w:r>
      <w:proofErr w:type="gramStart"/>
      <w:r w:rsidR="001E21A5" w:rsidRPr="00BD55A2">
        <w:rPr>
          <w:rFonts w:ascii="Times New Roman" w:hAnsi="Times New Roman"/>
        </w:rPr>
        <w:t>»</w:t>
      </w:r>
      <w:r w:rsidRPr="00BD55A2">
        <w:rPr>
          <w:rFonts w:ascii="Times New Roman" w:hAnsi="Times New Roman"/>
        </w:rPr>
        <w:t>(</w:t>
      </w:r>
      <w:proofErr w:type="gramEnd"/>
      <w:r w:rsidRPr="00BD55A2">
        <w:rPr>
          <w:rFonts w:ascii="Times New Roman" w:hAnsi="Times New Roman"/>
        </w:rPr>
        <w:t>далее</w:t>
      </w:r>
      <w:r w:rsidR="00E437FB" w:rsidRPr="00BD55A2">
        <w:rPr>
          <w:rFonts w:ascii="Times New Roman" w:hAnsi="Times New Roman"/>
        </w:rPr>
        <w:t>-</w:t>
      </w:r>
      <w:r w:rsidRPr="00BD55A2">
        <w:rPr>
          <w:rFonts w:ascii="Times New Roman" w:hAnsi="Times New Roman"/>
        </w:rPr>
        <w:t>Закон44-ФЗ).</w:t>
      </w:r>
    </w:p>
    <w:p w:rsidR="0008601D" w:rsidRPr="00BD55A2" w:rsidRDefault="0008601D" w:rsidP="00BD55A2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/>
        </w:rPr>
      </w:pPr>
      <w:proofErr w:type="gramStart"/>
      <w:r w:rsidRPr="00BD55A2">
        <w:rPr>
          <w:rFonts w:ascii="Times New Roman" w:hAnsi="Times New Roman"/>
        </w:rPr>
        <w:t xml:space="preserve">Формирование начальной (максимальной) цены муниципального контракта (цены лота) при приобретении жилых помещений в процессе реализации настоящей ВЦП,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установленной ВЦП или определенной в соответствии с требованиями </w:t>
      </w:r>
      <w:hyperlink r:id="rId9" w:history="1">
        <w:r w:rsidR="00151320" w:rsidRPr="00BD55A2">
          <w:rPr>
            <w:rFonts w:ascii="Times New Roman" w:hAnsi="Times New Roman"/>
          </w:rPr>
          <w:t>Зако</w:t>
        </w:r>
        <w:r w:rsidRPr="00BD55A2">
          <w:rPr>
            <w:rFonts w:ascii="Times New Roman" w:hAnsi="Times New Roman"/>
          </w:rPr>
          <w:t>на</w:t>
        </w:r>
      </w:hyperlink>
      <w:r w:rsidRPr="00BD55A2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  <w:proofErr w:type="gramEnd"/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(цены лота) осуществляется по максимальной площади. </w:t>
      </w:r>
      <w:proofErr w:type="gramStart"/>
      <w:r w:rsidRPr="00BD55A2">
        <w:rPr>
          <w:rFonts w:ascii="Times New Roman" w:hAnsi="Times New Roman" w:cs="Times New Roman"/>
          <w:sz w:val="28"/>
          <w:szCs w:val="28"/>
        </w:rPr>
        <w:t>При этом цена муниципального контракта (цена лота),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итогам процедуры определения поставщика (подрядчика, исполни</w:t>
      </w:r>
      <w:r w:rsidR="006C0CF4" w:rsidRPr="00BD55A2">
        <w:rPr>
          <w:rFonts w:ascii="Times New Roman" w:hAnsi="Times New Roman" w:cs="Times New Roman"/>
          <w:sz w:val="28"/>
          <w:szCs w:val="28"/>
        </w:rPr>
        <w:t>теля).</w:t>
      </w:r>
    </w:p>
    <w:p w:rsidR="000678C3" w:rsidRPr="00BD55A2" w:rsidRDefault="000678C3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30"/>
        <w:gridCol w:w="1277"/>
        <w:gridCol w:w="1016"/>
        <w:gridCol w:w="1100"/>
        <w:gridCol w:w="1121"/>
        <w:gridCol w:w="1245"/>
        <w:gridCol w:w="968"/>
        <w:gridCol w:w="1097"/>
      </w:tblGrid>
      <w:tr w:rsidR="008A486D" w:rsidRPr="00BD55A2" w:rsidTr="005C5614">
        <w:trPr>
          <w:cantSplit/>
          <w:trHeight w:val="20"/>
          <w:tblHeader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6D" w:rsidRPr="00BD55A2" w:rsidRDefault="008A486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6D" w:rsidRPr="00BD55A2" w:rsidRDefault="008A486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6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6D" w:rsidRPr="00BD55A2" w:rsidRDefault="008A486D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7E0841" w:rsidRPr="00BD55A2" w:rsidTr="005C5614">
        <w:trPr>
          <w:cantSplit/>
          <w:trHeight w:val="20"/>
          <w:tblHeader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7E0841" w:rsidRPr="00BD55A2" w:rsidTr="005C5614">
        <w:trPr>
          <w:cantSplit/>
          <w:trHeight w:val="20"/>
          <w:tblHeader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C5614" w:rsidRPr="00BD55A2" w:rsidTr="005C5614">
        <w:trPr>
          <w:cantSplit/>
          <w:trHeight w:val="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ВЦП: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850 180,0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162 269,9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286 956,6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78 008,3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131203,4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ind w:left="-108" w:righ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95943,9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14" w:rsidRPr="00BD55A2" w:rsidRDefault="005C5614" w:rsidP="00BD55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95 797,9</w:t>
            </w:r>
          </w:p>
        </w:tc>
      </w:tr>
      <w:tr w:rsidR="000D474C" w:rsidRPr="00BD55A2" w:rsidTr="003A02EE">
        <w:trPr>
          <w:cantSplit/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4C" w:rsidRPr="00BD55A2" w:rsidRDefault="000D474C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за счет:</w:t>
            </w:r>
          </w:p>
        </w:tc>
      </w:tr>
      <w:tr w:rsidR="005C5614" w:rsidRPr="00BD55A2" w:rsidTr="005C5614">
        <w:trPr>
          <w:cantSplit/>
          <w:trHeight w:val="11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850 180,0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ind w:left="-188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162 269,9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ind w:left="-70" w:righ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286 956,6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78 008,3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131 203,4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ind w:left="-134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95 943,9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95 797,9</w:t>
            </w:r>
          </w:p>
        </w:tc>
      </w:tr>
      <w:tr w:rsidR="005C5614" w:rsidRPr="00BD55A2" w:rsidTr="005C5614">
        <w:trPr>
          <w:cantSplit/>
          <w:trHeight w:val="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C5614" w:rsidRPr="00BD55A2" w:rsidTr="005C5614">
        <w:trPr>
          <w:cantSplit/>
          <w:trHeight w:val="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C5614" w:rsidRPr="00BD55A2" w:rsidTr="005C5614">
        <w:trPr>
          <w:cantSplit/>
          <w:trHeight w:val="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14" w:rsidRPr="00BD55A2" w:rsidRDefault="005C561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В ходе реализации ВЦП перечень мероприятий и объем их финансирования могут изменяться.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A2">
        <w:rPr>
          <w:rFonts w:ascii="Times New Roman" w:hAnsi="Times New Roman" w:cs="Times New Roman"/>
          <w:bCs/>
          <w:sz w:val="28"/>
          <w:szCs w:val="28"/>
        </w:rPr>
        <w:t>5. Оценка эффективности ВЦП, рисков ее реализации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В рамках реализации ВЦП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и соответственно даст возможность более рационально </w:t>
      </w:r>
      <w:proofErr w:type="gramStart"/>
      <w:r w:rsidRPr="00BD55A2">
        <w:rPr>
          <w:rFonts w:ascii="Times New Roman" w:hAnsi="Times New Roman" w:cs="Times New Roman"/>
          <w:bCs/>
          <w:sz w:val="28"/>
          <w:szCs w:val="28"/>
        </w:rPr>
        <w:t>использовать и вовлекать</w:t>
      </w:r>
      <w:proofErr w:type="gramEnd"/>
      <w:r w:rsidRPr="00BD55A2">
        <w:rPr>
          <w:rFonts w:ascii="Times New Roman" w:hAnsi="Times New Roman" w:cs="Times New Roman"/>
          <w:bCs/>
          <w:sz w:val="28"/>
          <w:szCs w:val="28"/>
        </w:rPr>
        <w:t xml:space="preserve"> в хозяйственный оборот муниципальное имущество.</w:t>
      </w:r>
    </w:p>
    <w:p w:rsidR="004A251A" w:rsidRPr="00BD55A2" w:rsidRDefault="004A251A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Осуществление ММБУ «ЦКИМИ», а с 01.01.2017 – ММКУ «ЦКИМИ» возложенных на него задач в рамках реализации настоящей ВЦП позволит достичь повышения эффективности использования муниципального имущества города Мурманск.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Внешние риски ВЦП: изменения федерального и/или регионального законодательства.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A2">
        <w:rPr>
          <w:rFonts w:ascii="Times New Roman" w:hAnsi="Times New Roman" w:cs="Times New Roman"/>
          <w:sz w:val="28"/>
          <w:szCs w:val="28"/>
        </w:rPr>
        <w:t>Внутренние риски ВЦП: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>Одним из внутренних рисков реализации ВЦП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  <w:proofErr w:type="gramEnd"/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ВЦП,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08601D" w:rsidRPr="00BD55A2" w:rsidRDefault="0008601D" w:rsidP="00BD55A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ВЦП в отношении стоимости 1 кв. м общей площади приобретаемых жилых помещений.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закупок.</w:t>
      </w:r>
    </w:p>
    <w:p w:rsidR="0008601D" w:rsidRPr="00BD55A2" w:rsidRDefault="0008601D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Планирование мероприятий ВЦП и объемов финансирования приведет к минимуму финансовых, организационных и иных рисков.</w:t>
      </w:r>
    </w:p>
    <w:p w:rsidR="004A251A" w:rsidRPr="00BD55A2" w:rsidRDefault="004A251A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2">
        <w:rPr>
          <w:rFonts w:ascii="Times New Roman" w:hAnsi="Times New Roman" w:cs="Times New Roman"/>
          <w:sz w:val="28"/>
          <w:szCs w:val="28"/>
        </w:rPr>
        <w:t>При реализации внесения, от имени муниципального образования город Мурманск,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</w:t>
      </w:r>
      <w:proofErr w:type="gramEnd"/>
      <w:r w:rsidRPr="00BD55A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хозяйственного ведения) к внутренним рискам следует отнести:</w:t>
      </w:r>
    </w:p>
    <w:p w:rsidR="004A251A" w:rsidRPr="00BD55A2" w:rsidRDefault="004A251A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>- риски изменения объемов в связи с изменением объемов расходных обязательств муниципального образования город Мурманск;</w:t>
      </w:r>
    </w:p>
    <w:p w:rsidR="004A251A" w:rsidRPr="00BD55A2" w:rsidRDefault="004A251A" w:rsidP="00BD55A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2">
        <w:rPr>
          <w:rFonts w:ascii="Times New Roman" w:hAnsi="Times New Roman" w:cs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585AFD" w:rsidRPr="00BD55A2" w:rsidRDefault="004A251A" w:rsidP="00BD55A2">
      <w:pPr>
        <w:shd w:val="clear" w:color="auto" w:fill="FFFFFF" w:themeFill="background1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  <w:sectPr w:rsidR="00585AFD" w:rsidRPr="00BD55A2" w:rsidSect="00EE5216">
          <w:headerReference w:type="default" r:id="rId10"/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BD55A2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 в части перераспределения средств.</w:t>
      </w:r>
    </w:p>
    <w:p w:rsidR="00151320" w:rsidRPr="00BD55A2" w:rsidRDefault="00151320" w:rsidP="00BD55A2">
      <w:pPr>
        <w:shd w:val="clear" w:color="auto" w:fill="FFFFFF" w:themeFill="background1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ВЦП</w:t>
      </w:r>
    </w:p>
    <w:p w:rsidR="002E26F4" w:rsidRPr="00BD55A2" w:rsidRDefault="002E26F4" w:rsidP="00BD55A2">
      <w:pPr>
        <w:shd w:val="clear" w:color="auto" w:fill="FFFFFF" w:themeFill="background1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20" w:rsidRPr="00BD55A2" w:rsidRDefault="00151320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основных мероприятий ВЦП</w:t>
      </w:r>
    </w:p>
    <w:p w:rsidR="00591731" w:rsidRPr="00BD55A2" w:rsidRDefault="00591731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20" w:rsidRPr="00BD55A2" w:rsidRDefault="00151320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основных мероприятий ВЦП на 2014</w:t>
      </w:r>
      <w:r w:rsidR="00E437FB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годы</w:t>
      </w:r>
    </w:p>
    <w:p w:rsidR="00151320" w:rsidRPr="00BD55A2" w:rsidRDefault="00151320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85"/>
        <w:gridCol w:w="3274"/>
        <w:gridCol w:w="849"/>
        <w:gridCol w:w="1046"/>
        <w:gridCol w:w="1046"/>
        <w:gridCol w:w="1049"/>
        <w:gridCol w:w="1093"/>
        <w:gridCol w:w="3566"/>
        <w:gridCol w:w="618"/>
        <w:gridCol w:w="621"/>
        <w:gridCol w:w="1967"/>
      </w:tblGrid>
      <w:tr w:rsidR="00A901DA" w:rsidRPr="00BD55A2" w:rsidTr="000678C3">
        <w:trPr>
          <w:cantSplit/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ind w:left="-73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="006C0CF4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r w:rsidR="000678C3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C0CF4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6C0CF4" w:rsidP="00BD55A2">
            <w:pPr>
              <w:shd w:val="clear" w:color="auto" w:fill="FFFFFF" w:themeFill="background1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</w:t>
            </w:r>
            <w:r w:rsidR="000678C3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</w:t>
            </w:r>
            <w:r w:rsidR="00A901DA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A901DA" w:rsidRPr="00BD55A2" w:rsidTr="002E26F4">
        <w:trPr>
          <w:cantSplit/>
          <w:trHeight w:val="887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2E26F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2E26F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4 755,8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фактического обследования имущества и технической работы, направленной на повышение эффективности его использования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67 101,6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2E26F4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26 760,5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  <w:r w:rsidR="002E26F4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работ, выполненных в целях повышения эффективности использования муниципального имущества и земельных участков,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ЦКИМИ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уставных капиталов открытых акционерных обществ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294 899,7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2E26F4" w:rsidP="00BD55A2">
            <w:pPr>
              <w:shd w:val="clear" w:color="auto" w:fill="FFFFFF" w:themeFill="background1"/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2E26F4"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899,7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открытых акционерных обществ, в отношении которых произведена процедура увеличения уставного капитала,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процедуры формирования (увеличения) уставных фондов муниципальных унитарных предприятий города Мурманска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унитарных предприятий города Мурманска, в отношении которых произведена процедура формирования (увеличения) уставного фонда,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BD55A2" w:rsidTr="000678C3">
        <w:trPr>
          <w:cantSplit/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производственной базы для ремонта, обслуживания и хранения общественного транспорта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приобретенных производственных баз для ремонта, обслуживания и хранения общественного транспорта,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A901DA" w:rsidRPr="00BD55A2" w:rsidTr="002E26F4">
        <w:trPr>
          <w:cantSplit/>
          <w:trHeight w:val="63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ind w:left="-73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449 226,5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162 269,9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286 956,6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DA" w:rsidRPr="00BD55A2" w:rsidRDefault="00A901DA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51320" w:rsidRPr="00BD55A2" w:rsidRDefault="00151320" w:rsidP="00BD55A2">
      <w:pPr>
        <w:shd w:val="clear" w:color="auto" w:fill="FFFFFF" w:themeFill="background1"/>
        <w:spacing w:after="0" w:line="240" w:lineRule="auto"/>
        <w:ind w:left="-142"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основных мероприятий на </w:t>
      </w:r>
      <w:r w:rsidR="006E6157"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2016-2019</w:t>
      </w:r>
      <w:r w:rsidRPr="00BD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51320" w:rsidRPr="00BD55A2" w:rsidRDefault="00151320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4" w:type="pct"/>
        <w:tblLayout w:type="fixed"/>
        <w:tblLook w:val="04A0"/>
      </w:tblPr>
      <w:tblGrid>
        <w:gridCol w:w="556"/>
        <w:gridCol w:w="2673"/>
        <w:gridCol w:w="850"/>
        <w:gridCol w:w="992"/>
        <w:gridCol w:w="992"/>
        <w:gridCol w:w="850"/>
        <w:gridCol w:w="850"/>
        <w:gridCol w:w="916"/>
        <w:gridCol w:w="788"/>
        <w:gridCol w:w="2620"/>
        <w:gridCol w:w="574"/>
        <w:gridCol w:w="574"/>
        <w:gridCol w:w="574"/>
        <w:gridCol w:w="612"/>
        <w:gridCol w:w="1268"/>
      </w:tblGrid>
      <w:tr w:rsidR="00916A42" w:rsidRPr="00BD55A2" w:rsidTr="00916A42">
        <w:trPr>
          <w:cantSplit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выполнения (квартал, год)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6A42" w:rsidRPr="00BD55A2" w:rsidTr="00916A42">
        <w:trPr>
          <w:cantSplit/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6A42" w:rsidRPr="00BD55A2" w:rsidTr="00916A42">
        <w:trPr>
          <w:cantSplit/>
          <w:tblHeader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16A42" w:rsidRPr="00BD55A2" w:rsidTr="00916A42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условий для приобретения и использования имущества в целях решения вопросов местного значения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302 973,50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63 008,30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103 543,40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68 283,90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72" w:right="-1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68 137,90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обеспечением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4 996,10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1 784,10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обеспечением изготовления технической документации на объекты недвижимости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2016 - 2019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20 795,60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5 685,90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5 309,30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5 331,80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42 978,30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42 978,30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работ, выполненных в целях повышения эффективности использования муниципального имущества и земельных участков,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        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казенных учреждений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2017 - 2019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177 140,30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59 370,20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58 900,80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        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организацией ограничения доступа, вывоза крупногабаритного и бытового мусора и санитарной обработки пустующих муниципальных помещений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2017 - 2019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6 315,90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помещений, в которых проведены мероприятия,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        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приобретением, внедрением и эксплуатацией автоматизированной системы управления муниципальной собственностью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2017 - 2019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13 777,30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13 777,30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создание условий для развития предприятий производственной и непроизводственной сферы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предприятий производственной и непроизводственной сферы экономики, для которых созданы условия для развития,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уставного капитала АО "Электротранспорт"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акционерных обществ, в отношении которых произведена процедура увеличения уставного капитала,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формированием перечня предприятий производственной и непроизводственной сферы экономики, в отношении которых необходимо увеличение уставного капитала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сформированных перечней предприятий производственной и непроизводственной сферы экономики, в отношении которых необходимо увеличение уставного капитала,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</w:t>
            </w: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82 980,00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муниципальных контрактов,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проверки правильности расчетов платы за жилищно-коммунальные услуги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проверенных расчетов,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82 980,00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оплаченных счетов, 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ЦКИМИ</w:t>
            </w:r>
          </w:p>
        </w:tc>
      </w:tr>
      <w:tr w:rsidR="00916A42" w:rsidRPr="00BD55A2" w:rsidTr="00916A42">
        <w:trPr>
          <w:cantSplit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400 953,50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78 008,30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131 203,40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95 943,90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95 797,90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42" w:rsidRPr="00BD55A2" w:rsidRDefault="00916A42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87DE4" w:rsidRPr="00BD55A2" w:rsidRDefault="00287DE4" w:rsidP="00BD55A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  <w:sectPr w:rsidR="00287DE4" w:rsidRPr="00BD55A2" w:rsidSect="00D070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11983" w:rsidRPr="00BD55A2" w:rsidRDefault="00211983" w:rsidP="00BD55A2">
      <w:pPr>
        <w:shd w:val="clear" w:color="auto" w:fill="FFFFFF" w:themeFill="background1"/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Детализация направлений расходов на 2017 -2019 годы</w:t>
      </w:r>
    </w:p>
    <w:p w:rsidR="00211983" w:rsidRPr="00BD55A2" w:rsidRDefault="00211983" w:rsidP="00BD55A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621"/>
        <w:gridCol w:w="4607"/>
        <w:gridCol w:w="1499"/>
        <w:gridCol w:w="1047"/>
        <w:gridCol w:w="1086"/>
        <w:gridCol w:w="993"/>
      </w:tblGrid>
      <w:tr w:rsidR="002C7911" w:rsidRPr="00BD55A2" w:rsidTr="002C7911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 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финансирования, тыс. руб.</w:t>
            </w:r>
          </w:p>
        </w:tc>
      </w:tr>
      <w:tr w:rsidR="002C7911" w:rsidRPr="00BD55A2" w:rsidTr="002C7911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2C7911" w:rsidRPr="00BD55A2" w:rsidTr="002C7911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C7911" w:rsidRPr="00BD55A2" w:rsidTr="002C7911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</w:t>
            </w: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</w:tr>
      <w:tr w:rsidR="002C7911" w:rsidRPr="00BD55A2" w:rsidTr="002C7911"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проверки правильности расчетов платы за жилищно-коммунальные услуги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7911" w:rsidRPr="00BD55A2" w:rsidTr="002C791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</w:tr>
      <w:tr w:rsidR="002C7911" w:rsidRPr="00BD55A2" w:rsidTr="002C7911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3.2.1. 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Внесение платы за муниципальные жилые помещения (за исключением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переданных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пользование по договорам найма,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7 660,00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7 660,00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7 660,00</w:t>
            </w:r>
          </w:p>
        </w:tc>
      </w:tr>
      <w:tr w:rsidR="002C7911" w:rsidRPr="00BD55A2" w:rsidTr="002C7911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Внесение платы за муниципальные нежилые помещения (за исключением </w:t>
            </w:r>
            <w:proofErr w:type="gramStart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закрепленных</w:t>
            </w:r>
            <w:proofErr w:type="gramEnd"/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C7911" w:rsidRPr="00BD55A2" w:rsidTr="002C7911"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1" w:rsidRPr="00BD55A2" w:rsidRDefault="002C7911" w:rsidP="00BD55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27 660,00</w:t>
            </w:r>
          </w:p>
        </w:tc>
      </w:tr>
    </w:tbl>
    <w:p w:rsidR="00D070B7" w:rsidRPr="00BD55A2" w:rsidRDefault="00D070B7" w:rsidP="003E025F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070B7" w:rsidRPr="00BD55A2" w:rsidSect="003E02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F7" w:rsidRDefault="006279F7" w:rsidP="00585AFD">
      <w:pPr>
        <w:spacing w:after="0" w:line="240" w:lineRule="auto"/>
      </w:pPr>
      <w:r>
        <w:separator/>
      </w:r>
    </w:p>
  </w:endnote>
  <w:end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F7" w:rsidRDefault="006279F7" w:rsidP="00585AFD">
      <w:pPr>
        <w:spacing w:after="0" w:line="240" w:lineRule="auto"/>
      </w:pPr>
      <w:r>
        <w:separator/>
      </w:r>
    </w:p>
  </w:footnote>
  <w:footnote w:type="continuationSeparator" w:id="1">
    <w:p w:rsidR="006279F7" w:rsidRDefault="006279F7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700360144"/>
      <w:showingPlcHdr/>
    </w:sdtPr>
    <w:sdtContent>
      <w:p w:rsidR="006279F7" w:rsidRPr="00235139" w:rsidRDefault="00E11E42">
        <w:pPr>
          <w:pStyle w:val="a4"/>
          <w:jc w:val="center"/>
          <w:rPr>
            <w:color w:val="000000" w:themeColor="text1"/>
          </w:rPr>
        </w:pPr>
        <w:r>
          <w:rPr>
            <w:color w:val="000000" w:themeColor="text1"/>
          </w:rPr>
          <w:t xml:space="preserve">     </w:t>
        </w:r>
      </w:p>
    </w:sdtContent>
  </w:sdt>
  <w:p w:rsidR="006279F7" w:rsidRPr="00235139" w:rsidRDefault="006279F7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7" w:rsidRPr="00613CCB" w:rsidRDefault="006279F7">
    <w:pPr>
      <w:pStyle w:val="a4"/>
      <w:jc w:val="center"/>
      <w:rPr>
        <w:color w:val="000000" w:themeColor="text1"/>
      </w:rPr>
    </w:pPr>
  </w:p>
  <w:p w:rsidR="006279F7" w:rsidRDefault="006279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4"/>
  </w:num>
  <w:num w:numId="5">
    <w:abstractNumId w:val="31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4"/>
  </w:num>
  <w:num w:numId="12">
    <w:abstractNumId w:val="14"/>
  </w:num>
  <w:num w:numId="13">
    <w:abstractNumId w:val="1"/>
  </w:num>
  <w:num w:numId="14">
    <w:abstractNumId w:val="29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8"/>
  </w:num>
  <w:num w:numId="23">
    <w:abstractNumId w:val="0"/>
  </w:num>
  <w:num w:numId="24">
    <w:abstractNumId w:val="2"/>
  </w:num>
  <w:num w:numId="25">
    <w:abstractNumId w:val="16"/>
  </w:num>
  <w:num w:numId="26">
    <w:abstractNumId w:val="3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4310"/>
    <w:rsid w:val="00004CBA"/>
    <w:rsid w:val="00005636"/>
    <w:rsid w:val="00005DD8"/>
    <w:rsid w:val="00006995"/>
    <w:rsid w:val="00006D96"/>
    <w:rsid w:val="00007A21"/>
    <w:rsid w:val="00010BD5"/>
    <w:rsid w:val="00010FA3"/>
    <w:rsid w:val="000207A2"/>
    <w:rsid w:val="0002298F"/>
    <w:rsid w:val="00024670"/>
    <w:rsid w:val="0002641E"/>
    <w:rsid w:val="00030C64"/>
    <w:rsid w:val="00031A26"/>
    <w:rsid w:val="00032558"/>
    <w:rsid w:val="00036392"/>
    <w:rsid w:val="00040AEE"/>
    <w:rsid w:val="0004247E"/>
    <w:rsid w:val="00042A63"/>
    <w:rsid w:val="00043C3E"/>
    <w:rsid w:val="00043DA0"/>
    <w:rsid w:val="0004468C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F51"/>
    <w:rsid w:val="000A55FA"/>
    <w:rsid w:val="000A6522"/>
    <w:rsid w:val="000B24C6"/>
    <w:rsid w:val="000B2F09"/>
    <w:rsid w:val="000B583E"/>
    <w:rsid w:val="000B5F32"/>
    <w:rsid w:val="000C19CE"/>
    <w:rsid w:val="000C1FE3"/>
    <w:rsid w:val="000C2F02"/>
    <w:rsid w:val="000C33A4"/>
    <w:rsid w:val="000D3558"/>
    <w:rsid w:val="000D474C"/>
    <w:rsid w:val="000D7A5D"/>
    <w:rsid w:val="000D7B9E"/>
    <w:rsid w:val="000D7F60"/>
    <w:rsid w:val="000E00AB"/>
    <w:rsid w:val="000E45C1"/>
    <w:rsid w:val="000E7DAF"/>
    <w:rsid w:val="00103698"/>
    <w:rsid w:val="00103D27"/>
    <w:rsid w:val="00105D54"/>
    <w:rsid w:val="00106693"/>
    <w:rsid w:val="00107875"/>
    <w:rsid w:val="00116914"/>
    <w:rsid w:val="00120442"/>
    <w:rsid w:val="001209E3"/>
    <w:rsid w:val="001214C6"/>
    <w:rsid w:val="0012391B"/>
    <w:rsid w:val="00124FC0"/>
    <w:rsid w:val="0013093F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7D9A"/>
    <w:rsid w:val="001706BD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7B42"/>
    <w:rsid w:val="001A1F55"/>
    <w:rsid w:val="001A1F97"/>
    <w:rsid w:val="001A6279"/>
    <w:rsid w:val="001B13BA"/>
    <w:rsid w:val="001C2105"/>
    <w:rsid w:val="001C319F"/>
    <w:rsid w:val="001C3722"/>
    <w:rsid w:val="001D15A8"/>
    <w:rsid w:val="001D1775"/>
    <w:rsid w:val="001D1E9F"/>
    <w:rsid w:val="001D4354"/>
    <w:rsid w:val="001D4FC7"/>
    <w:rsid w:val="001E21A5"/>
    <w:rsid w:val="001E24E5"/>
    <w:rsid w:val="001F12B2"/>
    <w:rsid w:val="001F1FE2"/>
    <w:rsid w:val="001F4E2F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6527"/>
    <w:rsid w:val="00246D88"/>
    <w:rsid w:val="00252367"/>
    <w:rsid w:val="00252749"/>
    <w:rsid w:val="002540D7"/>
    <w:rsid w:val="00255526"/>
    <w:rsid w:val="0025759D"/>
    <w:rsid w:val="0026028F"/>
    <w:rsid w:val="00260C55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C2B99"/>
    <w:rsid w:val="002C3E38"/>
    <w:rsid w:val="002C508F"/>
    <w:rsid w:val="002C7911"/>
    <w:rsid w:val="002D047C"/>
    <w:rsid w:val="002D102B"/>
    <w:rsid w:val="002D313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B5C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E025F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6B09"/>
    <w:rsid w:val="004218D1"/>
    <w:rsid w:val="00421E15"/>
    <w:rsid w:val="00422F83"/>
    <w:rsid w:val="00424224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8CA"/>
    <w:rsid w:val="004732FE"/>
    <w:rsid w:val="00474C83"/>
    <w:rsid w:val="0047565F"/>
    <w:rsid w:val="00480A1E"/>
    <w:rsid w:val="00482738"/>
    <w:rsid w:val="00485BEE"/>
    <w:rsid w:val="00491C53"/>
    <w:rsid w:val="00491C98"/>
    <w:rsid w:val="0049403B"/>
    <w:rsid w:val="004A0AE8"/>
    <w:rsid w:val="004A0C65"/>
    <w:rsid w:val="004A21C7"/>
    <w:rsid w:val="004A251A"/>
    <w:rsid w:val="004B4AE4"/>
    <w:rsid w:val="004B5341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187A"/>
    <w:rsid w:val="004E21B1"/>
    <w:rsid w:val="004E3FB7"/>
    <w:rsid w:val="004E4EE5"/>
    <w:rsid w:val="004E798C"/>
    <w:rsid w:val="004F35BD"/>
    <w:rsid w:val="004F3BC8"/>
    <w:rsid w:val="005052F2"/>
    <w:rsid w:val="005110C9"/>
    <w:rsid w:val="00512658"/>
    <w:rsid w:val="005145EC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4C00"/>
    <w:rsid w:val="005659A2"/>
    <w:rsid w:val="00567733"/>
    <w:rsid w:val="005719D6"/>
    <w:rsid w:val="0057382F"/>
    <w:rsid w:val="005762C7"/>
    <w:rsid w:val="00576817"/>
    <w:rsid w:val="005773EF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C4F89"/>
    <w:rsid w:val="005C5318"/>
    <w:rsid w:val="005C5614"/>
    <w:rsid w:val="005D1FC8"/>
    <w:rsid w:val="005D319F"/>
    <w:rsid w:val="005D665A"/>
    <w:rsid w:val="005D7D65"/>
    <w:rsid w:val="005F7C75"/>
    <w:rsid w:val="00601FC0"/>
    <w:rsid w:val="006034A4"/>
    <w:rsid w:val="006037B0"/>
    <w:rsid w:val="0060548E"/>
    <w:rsid w:val="00611EAB"/>
    <w:rsid w:val="00613CCB"/>
    <w:rsid w:val="006145DC"/>
    <w:rsid w:val="00615C83"/>
    <w:rsid w:val="006167CB"/>
    <w:rsid w:val="00624826"/>
    <w:rsid w:val="00627406"/>
    <w:rsid w:val="006279F7"/>
    <w:rsid w:val="006323B4"/>
    <w:rsid w:val="0063366B"/>
    <w:rsid w:val="0063438A"/>
    <w:rsid w:val="0063598C"/>
    <w:rsid w:val="006371D3"/>
    <w:rsid w:val="00640681"/>
    <w:rsid w:val="00644ADF"/>
    <w:rsid w:val="0064781D"/>
    <w:rsid w:val="0065005D"/>
    <w:rsid w:val="0065402B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C081A"/>
    <w:rsid w:val="006C0CF4"/>
    <w:rsid w:val="006C2543"/>
    <w:rsid w:val="006C2B84"/>
    <w:rsid w:val="006C46C7"/>
    <w:rsid w:val="006C5BB0"/>
    <w:rsid w:val="006C6C7E"/>
    <w:rsid w:val="006D1C88"/>
    <w:rsid w:val="006D398B"/>
    <w:rsid w:val="006D3EF6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7286"/>
    <w:rsid w:val="00716241"/>
    <w:rsid w:val="0072350F"/>
    <w:rsid w:val="0073098D"/>
    <w:rsid w:val="007319D7"/>
    <w:rsid w:val="007326D9"/>
    <w:rsid w:val="00744E8C"/>
    <w:rsid w:val="00747DAA"/>
    <w:rsid w:val="007518BB"/>
    <w:rsid w:val="00751A7E"/>
    <w:rsid w:val="00754EA6"/>
    <w:rsid w:val="007603A7"/>
    <w:rsid w:val="00761217"/>
    <w:rsid w:val="007630C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65BD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38E0"/>
    <w:rsid w:val="007B721D"/>
    <w:rsid w:val="007C0780"/>
    <w:rsid w:val="007C0A9A"/>
    <w:rsid w:val="007C24BB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8075A7"/>
    <w:rsid w:val="00811910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6A42"/>
    <w:rsid w:val="00921038"/>
    <w:rsid w:val="009274A9"/>
    <w:rsid w:val="00927E28"/>
    <w:rsid w:val="00931554"/>
    <w:rsid w:val="009347C1"/>
    <w:rsid w:val="00937CB3"/>
    <w:rsid w:val="00941314"/>
    <w:rsid w:val="00943587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351F"/>
    <w:rsid w:val="00973F2B"/>
    <w:rsid w:val="00974B53"/>
    <w:rsid w:val="009768F7"/>
    <w:rsid w:val="009779B0"/>
    <w:rsid w:val="00983E49"/>
    <w:rsid w:val="00984EAC"/>
    <w:rsid w:val="00987794"/>
    <w:rsid w:val="00987A75"/>
    <w:rsid w:val="00987C03"/>
    <w:rsid w:val="0099045B"/>
    <w:rsid w:val="00991E3F"/>
    <w:rsid w:val="0099360E"/>
    <w:rsid w:val="009A675D"/>
    <w:rsid w:val="009A6C50"/>
    <w:rsid w:val="009B2B41"/>
    <w:rsid w:val="009B4183"/>
    <w:rsid w:val="009B4E8F"/>
    <w:rsid w:val="009B70E2"/>
    <w:rsid w:val="009B7A9B"/>
    <w:rsid w:val="009C035B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745"/>
    <w:rsid w:val="00A019EF"/>
    <w:rsid w:val="00A02C06"/>
    <w:rsid w:val="00A04A06"/>
    <w:rsid w:val="00A10B41"/>
    <w:rsid w:val="00A120AC"/>
    <w:rsid w:val="00A16B09"/>
    <w:rsid w:val="00A204E7"/>
    <w:rsid w:val="00A30D20"/>
    <w:rsid w:val="00A37552"/>
    <w:rsid w:val="00A40673"/>
    <w:rsid w:val="00A419D6"/>
    <w:rsid w:val="00A44AE6"/>
    <w:rsid w:val="00A45961"/>
    <w:rsid w:val="00A46A74"/>
    <w:rsid w:val="00A51A03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F97"/>
    <w:rsid w:val="00AB6163"/>
    <w:rsid w:val="00AB6357"/>
    <w:rsid w:val="00AB64C7"/>
    <w:rsid w:val="00AC6E40"/>
    <w:rsid w:val="00AC7DD9"/>
    <w:rsid w:val="00AD06B5"/>
    <w:rsid w:val="00AD153A"/>
    <w:rsid w:val="00AD1CEF"/>
    <w:rsid w:val="00AD1DCF"/>
    <w:rsid w:val="00AD2747"/>
    <w:rsid w:val="00AD77F9"/>
    <w:rsid w:val="00AE4F40"/>
    <w:rsid w:val="00AE6EEE"/>
    <w:rsid w:val="00AF2757"/>
    <w:rsid w:val="00AF2C73"/>
    <w:rsid w:val="00AF3B5F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14EE"/>
    <w:rsid w:val="00B814F8"/>
    <w:rsid w:val="00B81FFE"/>
    <w:rsid w:val="00B824BD"/>
    <w:rsid w:val="00B865F3"/>
    <w:rsid w:val="00B87083"/>
    <w:rsid w:val="00B8715C"/>
    <w:rsid w:val="00B91FCB"/>
    <w:rsid w:val="00B94C3B"/>
    <w:rsid w:val="00B96CF9"/>
    <w:rsid w:val="00B97C7B"/>
    <w:rsid w:val="00BA0478"/>
    <w:rsid w:val="00BA68D9"/>
    <w:rsid w:val="00BB3E90"/>
    <w:rsid w:val="00BB4993"/>
    <w:rsid w:val="00BB72FB"/>
    <w:rsid w:val="00BC28B4"/>
    <w:rsid w:val="00BC46D8"/>
    <w:rsid w:val="00BC5C4F"/>
    <w:rsid w:val="00BC6ECE"/>
    <w:rsid w:val="00BD13DE"/>
    <w:rsid w:val="00BD2190"/>
    <w:rsid w:val="00BD276F"/>
    <w:rsid w:val="00BD2F71"/>
    <w:rsid w:val="00BD4986"/>
    <w:rsid w:val="00BD55A2"/>
    <w:rsid w:val="00BD798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294D"/>
    <w:rsid w:val="00C277CB"/>
    <w:rsid w:val="00C3124D"/>
    <w:rsid w:val="00C31ABF"/>
    <w:rsid w:val="00C344A3"/>
    <w:rsid w:val="00C4156B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650B"/>
    <w:rsid w:val="00C72514"/>
    <w:rsid w:val="00C74B27"/>
    <w:rsid w:val="00C76FDA"/>
    <w:rsid w:val="00C777AF"/>
    <w:rsid w:val="00C80452"/>
    <w:rsid w:val="00C847C2"/>
    <w:rsid w:val="00C871DF"/>
    <w:rsid w:val="00C92216"/>
    <w:rsid w:val="00C92F8C"/>
    <w:rsid w:val="00C94C43"/>
    <w:rsid w:val="00C959ED"/>
    <w:rsid w:val="00CA1054"/>
    <w:rsid w:val="00CA55B9"/>
    <w:rsid w:val="00CB4244"/>
    <w:rsid w:val="00CB63EA"/>
    <w:rsid w:val="00CB6771"/>
    <w:rsid w:val="00CB6F6F"/>
    <w:rsid w:val="00CB790D"/>
    <w:rsid w:val="00CC0501"/>
    <w:rsid w:val="00CC265B"/>
    <w:rsid w:val="00CC29B3"/>
    <w:rsid w:val="00CC75BC"/>
    <w:rsid w:val="00CD0646"/>
    <w:rsid w:val="00CD63D7"/>
    <w:rsid w:val="00CE2BE9"/>
    <w:rsid w:val="00CE406D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2589"/>
    <w:rsid w:val="00DB2E50"/>
    <w:rsid w:val="00DB52E4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E00B13"/>
    <w:rsid w:val="00E00E2F"/>
    <w:rsid w:val="00E00FF4"/>
    <w:rsid w:val="00E02F54"/>
    <w:rsid w:val="00E04D6F"/>
    <w:rsid w:val="00E05BA1"/>
    <w:rsid w:val="00E06DDC"/>
    <w:rsid w:val="00E079E5"/>
    <w:rsid w:val="00E11E42"/>
    <w:rsid w:val="00E13B62"/>
    <w:rsid w:val="00E13E3F"/>
    <w:rsid w:val="00E149DE"/>
    <w:rsid w:val="00E158AE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76FD7"/>
    <w:rsid w:val="00E83B62"/>
    <w:rsid w:val="00E85B30"/>
    <w:rsid w:val="00E864C8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E0ABC"/>
    <w:rsid w:val="00EE339D"/>
    <w:rsid w:val="00EE38FA"/>
    <w:rsid w:val="00EE5216"/>
    <w:rsid w:val="00EE616B"/>
    <w:rsid w:val="00EE70D8"/>
    <w:rsid w:val="00EF1602"/>
    <w:rsid w:val="00EF1FB3"/>
    <w:rsid w:val="00EF2EC2"/>
    <w:rsid w:val="00EF383A"/>
    <w:rsid w:val="00EF4370"/>
    <w:rsid w:val="00F02104"/>
    <w:rsid w:val="00F04663"/>
    <w:rsid w:val="00F057FB"/>
    <w:rsid w:val="00F05AD4"/>
    <w:rsid w:val="00F07A83"/>
    <w:rsid w:val="00F12A4D"/>
    <w:rsid w:val="00F12CB3"/>
    <w:rsid w:val="00F137E5"/>
    <w:rsid w:val="00F16A3F"/>
    <w:rsid w:val="00F20DC1"/>
    <w:rsid w:val="00F21F91"/>
    <w:rsid w:val="00F21FC6"/>
    <w:rsid w:val="00F2481C"/>
    <w:rsid w:val="00F25574"/>
    <w:rsid w:val="00F3777D"/>
    <w:rsid w:val="00F42418"/>
    <w:rsid w:val="00F451E3"/>
    <w:rsid w:val="00F47659"/>
    <w:rsid w:val="00F50DE9"/>
    <w:rsid w:val="00F51759"/>
    <w:rsid w:val="00F53D23"/>
    <w:rsid w:val="00F53F2E"/>
    <w:rsid w:val="00F56D52"/>
    <w:rsid w:val="00F605F6"/>
    <w:rsid w:val="00F66B3B"/>
    <w:rsid w:val="00F67357"/>
    <w:rsid w:val="00F74A60"/>
    <w:rsid w:val="00F75830"/>
    <w:rsid w:val="00F811AF"/>
    <w:rsid w:val="00F82A1E"/>
    <w:rsid w:val="00F82A96"/>
    <w:rsid w:val="00F86FD5"/>
    <w:rsid w:val="00FA0434"/>
    <w:rsid w:val="00FA157E"/>
    <w:rsid w:val="00FA33FB"/>
    <w:rsid w:val="00FA4F87"/>
    <w:rsid w:val="00FA5BA2"/>
    <w:rsid w:val="00FA64E5"/>
    <w:rsid w:val="00FA7C40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600A"/>
    <w:rsid w:val="00FD6C39"/>
    <w:rsid w:val="00FE0CEF"/>
    <w:rsid w:val="00FE1083"/>
    <w:rsid w:val="00FE5075"/>
    <w:rsid w:val="00FE63A2"/>
    <w:rsid w:val="00FF031E"/>
    <w:rsid w:val="00FF1411"/>
    <w:rsid w:val="00FF210E"/>
    <w:rsid w:val="00FF3B99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34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11D9B-2AA9-4B3B-B8A7-10C2725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2017-03-24T09:37:00Z</dcterms:created>
  <dcterms:modified xsi:type="dcterms:W3CDTF">2017-03-24T09:37:00Z</dcterms:modified>
</cp:coreProperties>
</file>