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F9" w:rsidRPr="00BD55A2" w:rsidRDefault="00E45AF9" w:rsidP="00BD55A2">
      <w:pPr>
        <w:pStyle w:val="ConsPlusTitle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5A2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BD55A2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E45AF9" w:rsidRPr="00BD55A2" w:rsidRDefault="001E21A5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«</w:t>
      </w:r>
      <w:r w:rsidR="00E45AF9" w:rsidRPr="00BD55A2">
        <w:rPr>
          <w:rFonts w:ascii="Times New Roman" w:hAnsi="Times New Roman" w:cs="Times New Roman"/>
          <w:sz w:val="28"/>
          <w:szCs w:val="28"/>
        </w:rPr>
        <w:t xml:space="preserve">Переустройство и (или) перепланировка пустующих муниципальных нежилых помещений для перевода их в муниципальные жилые </w:t>
      </w:r>
      <w:r w:rsidR="00082041" w:rsidRPr="00BD55A2">
        <w:rPr>
          <w:rFonts w:ascii="Times New Roman" w:hAnsi="Times New Roman" w:cs="Times New Roman"/>
          <w:sz w:val="28"/>
          <w:szCs w:val="28"/>
        </w:rPr>
        <w:t>помещения</w:t>
      </w:r>
      <w:r w:rsidRPr="00BD55A2">
        <w:rPr>
          <w:rFonts w:ascii="Times New Roman" w:hAnsi="Times New Roman" w:cs="Times New Roman"/>
          <w:sz w:val="28"/>
          <w:szCs w:val="28"/>
        </w:rPr>
        <w:t>»</w:t>
      </w:r>
      <w:r w:rsidR="00082041" w:rsidRPr="00BD55A2">
        <w:rPr>
          <w:rFonts w:ascii="Times New Roman" w:hAnsi="Times New Roman" w:cs="Times New Roman"/>
          <w:sz w:val="28"/>
          <w:szCs w:val="28"/>
        </w:rPr>
        <w:br/>
      </w:r>
      <w:r w:rsidR="00E45AF9" w:rsidRPr="00BD55A2">
        <w:rPr>
          <w:rFonts w:ascii="Times New Roman" w:hAnsi="Times New Roman" w:cs="Times New Roman"/>
          <w:sz w:val="28"/>
          <w:szCs w:val="28"/>
        </w:rPr>
        <w:t xml:space="preserve">на </w:t>
      </w:r>
      <w:r w:rsidR="00DB52E4" w:rsidRPr="00BD55A2">
        <w:rPr>
          <w:rFonts w:ascii="Times New Roman" w:hAnsi="Times New Roman" w:cs="Times New Roman"/>
          <w:sz w:val="28"/>
          <w:szCs w:val="28"/>
        </w:rPr>
        <w:t>2014-2019</w:t>
      </w:r>
      <w:r w:rsidR="00E45AF9" w:rsidRPr="00BD55A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45AF9" w:rsidRPr="00BD55A2" w:rsidRDefault="00107875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836"/>
        <w:gridCol w:w="6951"/>
      </w:tblGrid>
      <w:tr w:rsidR="00B259E0" w:rsidRPr="00BD55A2" w:rsidTr="007326D9">
        <w:trPr>
          <w:tblCellSpacing w:w="5" w:type="nil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       на </w:t>
            </w:r>
            <w:r w:rsidR="00DB52E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7326D9">
        <w:trPr>
          <w:tblCellSpacing w:w="5" w:type="nil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259E0" w:rsidRPr="00BD55A2" w:rsidTr="00E632FC">
        <w:trPr>
          <w:trHeight w:val="128"/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F9" w:rsidRPr="00BD55A2" w:rsidRDefault="00E45AF9" w:rsidP="00BD55A2">
            <w:pPr>
              <w:shd w:val="clear" w:color="auto" w:fill="FFFFFF" w:themeFill="background1"/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259E0" w:rsidRPr="00BD55A2" w:rsidTr="007326D9">
        <w:trPr>
          <w:trHeight w:val="400"/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7"/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E45AF9" w:rsidRPr="00BD55A2" w:rsidRDefault="00E45AF9" w:rsidP="00BD55A2">
            <w:pPr>
              <w:pStyle w:val="ConsPlusCell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7"/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E45AF9" w:rsidRPr="00BD55A2" w:rsidRDefault="00E45AF9" w:rsidP="00BD55A2">
            <w:pPr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67"/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муниципальных аварийных нежилых помещений, зданий, строений, ремонт (без изменения категории) или снос которых осуществлен</w:t>
            </w:r>
          </w:p>
        </w:tc>
      </w:tr>
      <w:tr w:rsidR="00B259E0" w:rsidRPr="00BD55A2" w:rsidTr="007326D9">
        <w:trPr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КГТР</w:t>
            </w:r>
          </w:p>
        </w:tc>
      </w:tr>
      <w:tr w:rsidR="00B259E0" w:rsidRPr="00BD55A2" w:rsidTr="007326D9">
        <w:trPr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Заказчик–координатор подпрограммы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BD55A2" w:rsidTr="007326D9">
        <w:trPr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DB52E4" w:rsidP="00BD55A2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E45AF9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7326D9">
        <w:trPr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 89 654,8 тыс. руб., в том числе:</w:t>
            </w:r>
          </w:p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МБ: 89 654,8 тыс. руб., из них:</w:t>
            </w:r>
          </w:p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 год – 15 075,2 тыс. руб.; </w:t>
            </w:r>
          </w:p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2015 год – 12 116,2 тыс. руб.; </w:t>
            </w:r>
          </w:p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2016 год – 20 963,4 тыс. руб.; </w:t>
            </w:r>
          </w:p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2017 год – 15 500,0 тыс. руб.; </w:t>
            </w:r>
          </w:p>
          <w:p w:rsidR="00E60E3E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2018 год – 13 000,0 тыс. руб.; </w:t>
            </w:r>
          </w:p>
          <w:p w:rsidR="00E45AF9" w:rsidRPr="00BD55A2" w:rsidRDefault="00E60E3E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2019 год – 13 000,0 тыс. руб.</w:t>
            </w:r>
            <w:r w:rsidRPr="00BD55A2">
              <w:rPr>
                <w:sz w:val="24"/>
                <w:szCs w:val="24"/>
              </w:rPr>
              <w:t> </w:t>
            </w:r>
          </w:p>
        </w:tc>
      </w:tr>
      <w:tr w:rsidR="00B259E0" w:rsidRPr="00BD55A2" w:rsidTr="00973F2B">
        <w:trPr>
          <w:trHeight w:val="1197"/>
          <w:tblCellSpacing w:w="5" w:type="nil"/>
        </w:trPr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F9" w:rsidRPr="00BD55A2" w:rsidRDefault="00E45A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помещений</w:t>
            </w:r>
          </w:p>
        </w:tc>
      </w:tr>
    </w:tbl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 w:cs="Times New Roman"/>
          <w:sz w:val="28"/>
          <w:szCs w:val="28"/>
        </w:rPr>
      </w:pP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Одной из важнейших целей социально-экономического развития муниципального образования город Мурманск является создание условий для обеспечения населения комфортным жильем.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 xml:space="preserve">За период с 2005 по 2010 годы в рамках целевой </w:t>
      </w:r>
      <w:hyperlink r:id="rId8" w:history="1">
        <w:r w:rsidRPr="00BD55A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 xml:space="preserve">Переселение граждан города Мурманска из ветхого и аварийного жилищного фонда на 2005 </w:t>
      </w:r>
      <w:r w:rsidRPr="00BD55A2">
        <w:rPr>
          <w:rFonts w:ascii="Times New Roman" w:hAnsi="Times New Roman" w:cs="Times New Roman"/>
          <w:sz w:val="28"/>
          <w:szCs w:val="28"/>
        </w:rPr>
        <w:lastRenderedPageBreak/>
        <w:t>– 2010 годы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>, утвержденной решением Мурманского городского Совета от 07.04.2005 № 6 – 60, 354 гражданам были предоставлены благоустроенные жилые помещения общей площадью 6 421,6 кв.м</w:t>
      </w:r>
      <w:r w:rsidR="00043C3E" w:rsidRPr="00BD55A2">
        <w:rPr>
          <w:rFonts w:ascii="Times New Roman" w:hAnsi="Times New Roman" w:cs="Times New Roman"/>
          <w:sz w:val="28"/>
          <w:szCs w:val="28"/>
        </w:rPr>
        <w:t>.</w:t>
      </w:r>
      <w:r w:rsidRPr="00BD55A2">
        <w:rPr>
          <w:rFonts w:ascii="Times New Roman" w:hAnsi="Times New Roman" w:cs="Times New Roman"/>
          <w:sz w:val="28"/>
          <w:szCs w:val="28"/>
        </w:rPr>
        <w:t xml:space="preserve"> на сумму 117 122,5 тыс. руб., в том числе 77 653,8 тыс. руб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>. за счет средств бюджета муниципального образования город Мурманск, 10 389,7 тыс. руб. за счет средств федерального бюджета, 29 079,0 тыс. руб. – внебюджетные источники.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26.12.2013 № 3869 утверждена долгосрочная целевая программа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 xml:space="preserve"> на 2012 – 2017 годы, в рамках которой планируется расселение с последующим сносом 384 аварийных многоквартирных домов и многоквартирных домов пониженной капитальности, имеющих не все виды благоустройства, посредством обеспечения благоустроенным жильем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 xml:space="preserve"> 10 486 граждан, проживающих в жилых помещениях общей площадью 174 710,6 кв.м. 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Но, по причине недостаточного финансирования, выделяемого из бюджета муниципального образования город Мурманск на расселение указанных домов, остро ощущается нехватка муниципальных жилых помещений.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жилых помещений на </w:t>
      </w:r>
      <w:r w:rsidR="00050054" w:rsidRPr="00BD55A2">
        <w:rPr>
          <w:rFonts w:ascii="Times New Roman" w:hAnsi="Times New Roman" w:cs="Times New Roman"/>
          <w:sz w:val="28"/>
          <w:szCs w:val="28"/>
        </w:rPr>
        <w:t>114</w:t>
      </w:r>
      <w:r w:rsidRPr="00BD55A2">
        <w:rPr>
          <w:rFonts w:ascii="Times New Roman" w:hAnsi="Times New Roman" w:cs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не только избежать возникновения ситуаций, опасных для имущества, жизни и здоровья граждан, но и вовлекать эти объекты муниципального нежилого фонда, в хозяйственный оборот (продавать, передавать в аренду). 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EE38FA" w:rsidRPr="00954B27" w:rsidRDefault="00EE38FA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4B27" w:rsidRPr="00954B27" w:rsidRDefault="00954B27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DE9" w:rsidRPr="00BD55A2" w:rsidRDefault="00F50DE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5A2">
        <w:rPr>
          <w:rFonts w:ascii="Times New Roman" w:eastAsia="Calibri" w:hAnsi="Times New Roman" w:cs="Times New Roman"/>
          <w:sz w:val="28"/>
          <w:szCs w:val="28"/>
        </w:rPr>
        <w:t>2. Основные цели и задачи подпрограммы,</w:t>
      </w:r>
    </w:p>
    <w:p w:rsidR="00F50DE9" w:rsidRPr="00BD55A2" w:rsidRDefault="00F50DE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55A2">
        <w:rPr>
          <w:rFonts w:ascii="Times New Roman" w:eastAsia="Calibri" w:hAnsi="Times New Roman" w:cs="Times New Roman"/>
          <w:sz w:val="28"/>
          <w:szCs w:val="28"/>
        </w:rPr>
        <w:t>целевые показатели (индикаторы) реализации подпрограммы</w:t>
      </w:r>
    </w:p>
    <w:p w:rsidR="00987C03" w:rsidRPr="00BD55A2" w:rsidRDefault="00987C03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8"/>
        <w:gridCol w:w="2586"/>
        <w:gridCol w:w="603"/>
        <w:gridCol w:w="1202"/>
        <w:gridCol w:w="1104"/>
        <w:gridCol w:w="634"/>
        <w:gridCol w:w="634"/>
        <w:gridCol w:w="634"/>
        <w:gridCol w:w="634"/>
        <w:gridCol w:w="634"/>
        <w:gridCol w:w="634"/>
      </w:tblGrid>
      <w:tr w:rsidR="00B259E0" w:rsidRPr="00BD55A2" w:rsidTr="007326D9">
        <w:trPr>
          <w:trHeight w:val="271"/>
          <w:tblHeader/>
          <w:tblCellSpacing w:w="5" w:type="nil"/>
        </w:trPr>
        <w:tc>
          <w:tcPr>
            <w:tcW w:w="249" w:type="pct"/>
            <w:vMerge w:val="restart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1" w:type="pct"/>
            <w:vMerge w:val="restart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308" w:type="pct"/>
            <w:vMerge w:val="restart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21" w:type="pct"/>
            <w:gridSpan w:val="8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259E0" w:rsidRPr="00BD55A2" w:rsidTr="007326D9">
        <w:trPr>
          <w:trHeight w:val="900"/>
          <w:tblHeader/>
          <w:tblCellSpacing w:w="5" w:type="nil"/>
        </w:trPr>
        <w:tc>
          <w:tcPr>
            <w:tcW w:w="249" w:type="pct"/>
            <w:vMerge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pct"/>
            <w:vMerge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4" w:type="pct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43" w:type="pct"/>
            <w:gridSpan w:val="6"/>
            <w:vAlign w:val="center"/>
          </w:tcPr>
          <w:p w:rsidR="00F50DE9" w:rsidRPr="00BD55A2" w:rsidRDefault="00F50DE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6357C" w:rsidRPr="00BD55A2" w:rsidTr="00E632FC">
        <w:trPr>
          <w:trHeight w:val="140"/>
          <w:tblHeader/>
          <w:tblCellSpacing w:w="5" w:type="nil"/>
        </w:trPr>
        <w:tc>
          <w:tcPr>
            <w:tcW w:w="249" w:type="pct"/>
            <w:vMerge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pct"/>
            <w:vMerge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66357C" w:rsidRPr="00BD55A2" w:rsidTr="00E632FC">
        <w:trPr>
          <w:trHeight w:val="61"/>
          <w:tblHeader/>
          <w:tblCellSpacing w:w="5" w:type="nil"/>
        </w:trPr>
        <w:tc>
          <w:tcPr>
            <w:tcW w:w="249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1425"/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6357C" w:rsidRPr="00BD55A2" w:rsidTr="007326D9">
        <w:trPr>
          <w:trHeight w:val="588"/>
          <w:tblCellSpacing w:w="5" w:type="nil"/>
        </w:trPr>
        <w:tc>
          <w:tcPr>
            <w:tcW w:w="5000" w:type="pct"/>
            <w:gridSpan w:val="11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7713C9" w:rsidRPr="00BD55A2" w:rsidTr="007326D9">
        <w:trPr>
          <w:trHeight w:val="2258"/>
          <w:tblCellSpacing w:w="5" w:type="nil"/>
        </w:trPr>
        <w:tc>
          <w:tcPr>
            <w:tcW w:w="249" w:type="pct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308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1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vAlign w:val="center"/>
          </w:tcPr>
          <w:p w:rsidR="007713C9" w:rsidRPr="00BD55A2" w:rsidRDefault="007713C9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357C" w:rsidRPr="00BD55A2" w:rsidTr="007326D9">
        <w:trPr>
          <w:tblCellSpacing w:w="5" w:type="nil"/>
        </w:trPr>
        <w:tc>
          <w:tcPr>
            <w:tcW w:w="249" w:type="pct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308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4" w:type="pct"/>
            <w:vAlign w:val="center"/>
          </w:tcPr>
          <w:p w:rsidR="0066357C" w:rsidRPr="00BD55A2" w:rsidRDefault="00405707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66357C" w:rsidRPr="00BD55A2" w:rsidRDefault="00405707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6357C" w:rsidRPr="00BD55A2" w:rsidTr="007326D9">
        <w:trPr>
          <w:tblCellSpacing w:w="5" w:type="nil"/>
        </w:trPr>
        <w:tc>
          <w:tcPr>
            <w:tcW w:w="249" w:type="pct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pct"/>
          </w:tcPr>
          <w:p w:rsidR="0066357C" w:rsidRPr="00BD55A2" w:rsidRDefault="0066357C" w:rsidP="00BD55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муниципальных аварийных нежилых помещений, зданий, строений, ремонт (без изменения категории) или снос которых осуществлен</w:t>
            </w:r>
          </w:p>
        </w:tc>
        <w:tc>
          <w:tcPr>
            <w:tcW w:w="308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14" w:type="pct"/>
            <w:vAlign w:val="center"/>
          </w:tcPr>
          <w:p w:rsidR="0066357C" w:rsidRPr="00BD55A2" w:rsidRDefault="00405707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vAlign w:val="center"/>
          </w:tcPr>
          <w:p w:rsidR="0066357C" w:rsidRPr="00BD55A2" w:rsidRDefault="00405707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66357C" w:rsidRPr="00BD55A2" w:rsidRDefault="0066357C" w:rsidP="00BD55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45AF9" w:rsidRPr="00BD55A2" w:rsidRDefault="00E45AF9" w:rsidP="00BD55A2">
      <w:pPr>
        <w:shd w:val="clear" w:color="auto" w:fill="FFFFFF" w:themeFill="background1"/>
        <w:tabs>
          <w:tab w:val="left" w:pos="168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45AF9" w:rsidRPr="00BD55A2" w:rsidRDefault="00E45AF9" w:rsidP="00BD55A2">
      <w:pPr>
        <w:shd w:val="clear" w:color="auto" w:fill="FFFFFF" w:themeFill="background1"/>
        <w:tabs>
          <w:tab w:val="left" w:pos="1680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3. Перечень основных программных мероприятий</w:t>
      </w: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Мурманска. </w:t>
      </w:r>
    </w:p>
    <w:p w:rsidR="00E45AF9" w:rsidRPr="00BD55A2" w:rsidRDefault="00E45AF9" w:rsidP="00BD55A2">
      <w:pPr>
        <w:shd w:val="clear" w:color="auto" w:fill="FFFFFF" w:themeFill="background1"/>
        <w:tabs>
          <w:tab w:val="left" w:pos="1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107875" w:rsidRPr="00BD55A2" w:rsidRDefault="00107875" w:rsidP="00BD55A2">
      <w:pPr>
        <w:shd w:val="clear" w:color="auto" w:fill="FFFFFF" w:themeFill="background1"/>
        <w:tabs>
          <w:tab w:val="left" w:pos="1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45D" w:rsidRPr="00BD55A2" w:rsidRDefault="009E345D" w:rsidP="00BD55A2">
      <w:pPr>
        <w:shd w:val="clear" w:color="auto" w:fill="FFFFFF" w:themeFill="background1"/>
        <w:tabs>
          <w:tab w:val="left" w:pos="1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45D" w:rsidRPr="00BD55A2" w:rsidRDefault="009E345D" w:rsidP="00BD55A2">
      <w:pPr>
        <w:shd w:val="clear" w:color="auto" w:fill="FFFFFF" w:themeFill="background1"/>
        <w:tabs>
          <w:tab w:val="left" w:pos="1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E9" w:rsidRPr="00BD55A2" w:rsidRDefault="00F50DE9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4. Обоснование ресу</w:t>
      </w:r>
      <w:r w:rsidR="00043C3E" w:rsidRPr="00BD55A2">
        <w:rPr>
          <w:rFonts w:ascii="Times New Roman" w:hAnsi="Times New Roman" w:cs="Times New Roman"/>
          <w:sz w:val="28"/>
          <w:szCs w:val="28"/>
        </w:rPr>
        <w:t>рсного обеспечения подпрограммы</w:t>
      </w:r>
    </w:p>
    <w:p w:rsidR="009E345D" w:rsidRPr="00BD55A2" w:rsidRDefault="009E345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638"/>
        <w:gridCol w:w="1114"/>
        <w:gridCol w:w="998"/>
        <w:gridCol w:w="1000"/>
        <w:gridCol w:w="1000"/>
        <w:gridCol w:w="1000"/>
        <w:gridCol w:w="994"/>
        <w:gridCol w:w="1043"/>
      </w:tblGrid>
      <w:tr w:rsidR="00B259E0" w:rsidRPr="00BD55A2" w:rsidTr="007713C9">
        <w:trPr>
          <w:trHeight w:val="539"/>
          <w:tblHeader/>
          <w:tblCellSpacing w:w="5" w:type="nil"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9" w:rsidRPr="00BD55A2" w:rsidRDefault="00F50DE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финансирования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9" w:rsidRPr="00BD55A2" w:rsidRDefault="00F50DE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E9" w:rsidRPr="00BD55A2" w:rsidRDefault="00F50DE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987C03" w:rsidRPr="00BD55A2" w:rsidTr="007713C9">
        <w:trPr>
          <w:trHeight w:val="405"/>
          <w:tblHeader/>
          <w:tblCellSpacing w:w="5" w:type="nil"/>
        </w:trPr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87C03" w:rsidRPr="00BD55A2" w:rsidTr="007713C9">
        <w:trPr>
          <w:trHeight w:val="120"/>
          <w:tblCellSpacing w:w="5" w:type="nil"/>
        </w:trPr>
        <w:tc>
          <w:tcPr>
            <w:tcW w:w="1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3" w:rsidRPr="00BD55A2" w:rsidRDefault="00987C03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3C9" w:rsidRPr="00BD55A2" w:rsidTr="007713C9">
        <w:trPr>
          <w:trHeight w:val="276"/>
          <w:tblCellSpacing w:w="5" w:type="nil"/>
        </w:trPr>
        <w:tc>
          <w:tcPr>
            <w:tcW w:w="1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89 654,8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15 075,2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12 116,2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ind w:left="-3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20 963,4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</w:tr>
      <w:tr w:rsidR="007713C9" w:rsidRPr="00BD55A2" w:rsidTr="007713C9">
        <w:trPr>
          <w:trHeight w:val="192"/>
          <w:tblCellSpacing w:w="5" w:type="nil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C9" w:rsidRPr="00BD55A2" w:rsidTr="007713C9">
        <w:trPr>
          <w:trHeight w:val="497"/>
          <w:tblCellSpacing w:w="5" w:type="nil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89 654,8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15 075,2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12 116,2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ind w:left="-36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20 963,4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</w:t>
            </w:r>
          </w:p>
        </w:tc>
      </w:tr>
      <w:tr w:rsidR="007713C9" w:rsidRPr="00BD55A2" w:rsidTr="007713C9">
        <w:trPr>
          <w:trHeight w:val="189"/>
          <w:tblCellSpacing w:w="5" w:type="nil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3C9" w:rsidRPr="00BD55A2" w:rsidTr="007713C9">
        <w:trPr>
          <w:trHeight w:val="250"/>
          <w:tblCellSpacing w:w="5" w:type="nil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3C9" w:rsidRPr="00BD55A2" w:rsidTr="007713C9">
        <w:trPr>
          <w:trHeight w:val="155"/>
          <w:tblCellSpacing w:w="5" w:type="nil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3C9" w:rsidRPr="00BD55A2" w:rsidTr="007713C9">
        <w:trPr>
          <w:trHeight w:val="155"/>
          <w:tblCellSpacing w:w="5" w:type="nil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9" w:rsidRPr="00BD55A2" w:rsidRDefault="007713C9" w:rsidP="00BD55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 xml:space="preserve">Для расчета стоимости проведения переустройства, и (или) перепланировки пустующих муниципальных нежилых помещений, переводимых в жилые, и (или) иных работ применен коэффициент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>Прогнозный индекс-дефлятор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 xml:space="preserve"> на период действия настоящей подпрограммы.</w:t>
      </w:r>
      <w:proofErr w:type="gramEnd"/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Исполнители и участники подпрограммы:</w:t>
      </w: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- комитет имущественных отношений города Мурманска;</w:t>
      </w:r>
    </w:p>
    <w:p w:rsidR="00E45AF9" w:rsidRPr="00BD55A2" w:rsidRDefault="00E45AF9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- комитет градостроительства и территориального развития администрации города Мурманска;</w:t>
      </w:r>
    </w:p>
    <w:p w:rsidR="00E45AF9" w:rsidRPr="00BD55A2" w:rsidRDefault="00E45AF9" w:rsidP="00BD55A2">
      <w:pPr>
        <w:pStyle w:val="ConsPlusCell"/>
        <w:widowControl/>
        <w:shd w:val="clear" w:color="auto" w:fill="FFFFFF" w:themeFill="background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- Мурманское муниципальное </w:t>
      </w:r>
      <w:proofErr w:type="spellStart"/>
      <w:r w:rsidR="00B628B0" w:rsidRPr="00BD55A2">
        <w:rPr>
          <w:rFonts w:ascii="Times New Roman" w:hAnsi="Times New Roman" w:cs="Times New Roman"/>
          <w:sz w:val="28"/>
          <w:szCs w:val="28"/>
        </w:rPr>
        <w:t>казеное</w:t>
      </w:r>
      <w:proofErr w:type="spellEnd"/>
      <w:r w:rsidRPr="00BD55A2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 xml:space="preserve">Центр по </w:t>
      </w:r>
      <w:proofErr w:type="gramStart"/>
      <w:r w:rsidRPr="00BD55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>;</w:t>
      </w:r>
    </w:p>
    <w:p w:rsidR="00376819" w:rsidRPr="00BD55A2" w:rsidRDefault="00E45AF9" w:rsidP="00BD55A2">
      <w:pPr>
        <w:pStyle w:val="ConsPlusCell"/>
        <w:widowControl/>
        <w:shd w:val="clear" w:color="auto" w:fill="FFFFFF" w:themeFill="background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- Мурманское муниципальное казенное учреждение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>.</w:t>
      </w:r>
    </w:p>
    <w:p w:rsidR="00E45AF9" w:rsidRPr="00BD55A2" w:rsidRDefault="00E45AF9" w:rsidP="00BD55A2">
      <w:pPr>
        <w:pStyle w:val="ConsPlusCell"/>
        <w:widowControl/>
        <w:shd w:val="clear" w:color="auto" w:fill="FFFFFF" w:themeFill="background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45AF9" w:rsidRPr="00BD55A2" w:rsidRDefault="00085AD8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6" w:history="1">
        <w:r w:rsidR="00E45AF9" w:rsidRPr="00BD5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45AF9" w:rsidRPr="00BD55A2">
        <w:rPr>
          <w:rFonts w:ascii="Times New Roman" w:hAnsi="Times New Roman" w:cs="Times New Roman"/>
          <w:sz w:val="28"/>
          <w:szCs w:val="28"/>
        </w:rPr>
        <w:t xml:space="preserve"> пустующих муниципальных нежилых помещений, планируемых к переводу в муниципальные жилые помещения, утверждается приказом комитета имущественных отношений города Мурманска, согласованным с комитетом градостроительства и территориального развития администрации города Мурманска и Мурманским муниципальным казенным учреждением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="00E45AF9" w:rsidRPr="00BD55A2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="00E45AF9" w:rsidRPr="00BD55A2">
        <w:rPr>
          <w:rFonts w:ascii="Times New Roman" w:hAnsi="Times New Roman" w:cs="Times New Roman"/>
          <w:sz w:val="28"/>
          <w:szCs w:val="28"/>
        </w:rPr>
        <w:t>.</w:t>
      </w:r>
    </w:p>
    <w:p w:rsidR="00E45AF9" w:rsidRPr="00BD55A2" w:rsidRDefault="00E45AF9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proofErr w:type="gramStart"/>
      <w:r w:rsidRPr="00BD55A2">
        <w:rPr>
          <w:rFonts w:ascii="Times New Roman" w:hAnsi="Times New Roman"/>
        </w:rPr>
        <w:t xml:space="preserve">При выявлении пустующих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</w:t>
      </w:r>
      <w:proofErr w:type="spellStart"/>
      <w:r w:rsidR="00B628B0" w:rsidRPr="00BD55A2">
        <w:rPr>
          <w:rFonts w:ascii="Times New Roman" w:hAnsi="Times New Roman"/>
        </w:rPr>
        <w:t>казеное</w:t>
      </w:r>
      <w:proofErr w:type="spellEnd"/>
      <w:r w:rsidRPr="00BD55A2">
        <w:rPr>
          <w:rFonts w:ascii="Times New Roman" w:hAnsi="Times New Roman"/>
        </w:rPr>
        <w:t xml:space="preserve"> учреждение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Центр по контролю за использованием муниципального имущества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</w:t>
      </w:r>
      <w:proofErr w:type="gramEnd"/>
      <w:r w:rsidRPr="00BD55A2">
        <w:rPr>
          <w:rFonts w:ascii="Times New Roman" w:hAnsi="Times New Roman"/>
        </w:rPr>
        <w:t xml:space="preserve">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  <w:proofErr w:type="gramEnd"/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комитетом градостроительства и территориального развития администрации города Мурманска (Мурманским муниципальным казенным учреждением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>) будут организованы:</w:t>
      </w:r>
    </w:p>
    <w:p w:rsidR="00E45AF9" w:rsidRPr="00BD55A2" w:rsidRDefault="00E45AF9" w:rsidP="00BD55A2">
      <w:pPr>
        <w:shd w:val="clear" w:color="auto" w:fill="FFFFFF" w:themeFill="background1"/>
        <w:tabs>
          <w:tab w:val="left" w:pos="-1843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– подготовка и оформление проектов переустройства и (или) перепланировки пустующих нежилых помещений;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–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градостроительства и территориального развития администрации города Мурманска (Мурманским муниципальным казенным учреждением </w:t>
      </w:r>
      <w:r w:rsidR="001E21A5" w:rsidRPr="00BD55A2">
        <w:rPr>
          <w:rFonts w:ascii="Times New Roman" w:hAnsi="Times New Roman" w:cs="Times New Roman"/>
          <w:sz w:val="28"/>
          <w:szCs w:val="28"/>
        </w:rPr>
        <w:t>«</w:t>
      </w:r>
      <w:r w:rsidRPr="00BD55A2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sz w:val="28"/>
          <w:szCs w:val="28"/>
        </w:rPr>
        <w:t>»</w:t>
      </w:r>
      <w:r w:rsidRPr="00BD55A2">
        <w:rPr>
          <w:rFonts w:ascii="Times New Roman" w:hAnsi="Times New Roman" w:cs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E45AF9" w:rsidRPr="00BD55A2" w:rsidRDefault="00E45AF9" w:rsidP="00BD55A2">
      <w:pPr>
        <w:pStyle w:val="ConsPlusCell"/>
        <w:shd w:val="clear" w:color="auto" w:fill="FFFFFF" w:themeFill="background1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Также в рамках настоящей подпрограммы комитетом градостроительства и территориального развития администрации города Мурманска (Мурманским муниципальным казенным учреждением </w:t>
      </w:r>
      <w:r w:rsidR="001E21A5" w:rsidRPr="00BD55A2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Управление капитального строительства</w:t>
      </w:r>
      <w:r w:rsidR="001E21A5" w:rsidRPr="00BD55A2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) будет организовано проведение текущего или капитального ремонта муниципальных нежилых помещений и снос аварийных нежилых зданий, а также мероприятия по ограничению доступа на такие объекты.</w:t>
      </w:r>
    </w:p>
    <w:p w:rsidR="00E45AF9" w:rsidRPr="00BD55A2" w:rsidRDefault="00E45AF9" w:rsidP="00BD55A2">
      <w:pPr>
        <w:pStyle w:val="ConsPlusCell"/>
        <w:shd w:val="clear" w:color="auto" w:fill="FFFFFF" w:themeFill="background1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Комитет имущественных отношений города Мурманска осуществляет </w:t>
      </w:r>
      <w:proofErr w:type="gramStart"/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текущее</w:t>
      </w:r>
      <w:proofErr w:type="gramEnd"/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управление реализацией подпрограммы, оперативный контроль за ходом ее выполнения. </w:t>
      </w:r>
    </w:p>
    <w:p w:rsidR="00E45AF9" w:rsidRPr="00BD55A2" w:rsidRDefault="00E45AF9" w:rsidP="00BD55A2">
      <w:pPr>
        <w:pStyle w:val="ConsPlusCell"/>
        <w:shd w:val="clear" w:color="auto" w:fill="FFFFFF" w:themeFill="background1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</w:t>
      </w:r>
      <w:hyperlink w:anchor="Par723" w:history="1">
        <w:r w:rsidRPr="00BD55A2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</w:t>
      </w:r>
      <w:proofErr w:type="gramStart"/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.В</w:t>
      </w:r>
      <w:proofErr w:type="gramEnd"/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</w:t>
      </w:r>
      <w:hyperlink w:anchor="Par723" w:history="1">
        <w:r w:rsidRPr="00BD55A2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</w:t>
      </w:r>
      <w:proofErr w:type="gramStart"/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отчетным</w:t>
      </w:r>
      <w:proofErr w:type="gramEnd"/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, направляет их в комитет имущественных отношений города Мурманска.</w:t>
      </w:r>
    </w:p>
    <w:p w:rsidR="00E45AF9" w:rsidRPr="00BD55A2" w:rsidRDefault="00E45AF9" w:rsidP="00BD55A2">
      <w:pPr>
        <w:pStyle w:val="ConsPlusCell"/>
        <w:shd w:val="clear" w:color="auto" w:fill="FFFFFF" w:themeFill="background1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D55A2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45AF9" w:rsidRPr="00BD55A2" w:rsidRDefault="00E45AF9" w:rsidP="00BD55A2">
      <w:pPr>
        <w:pStyle w:val="ConsPlusCell"/>
        <w:shd w:val="clear" w:color="auto" w:fill="FFFFFF" w:themeFill="background1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376819" w:rsidRPr="00BD55A2" w:rsidRDefault="0037681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45AF9" w:rsidRPr="00BD55A2" w:rsidRDefault="00E45AF9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Реализация подпрограммы в </w:t>
      </w:r>
      <w:r w:rsidR="00DB52E4" w:rsidRPr="00BD55A2">
        <w:rPr>
          <w:rFonts w:ascii="Times New Roman" w:hAnsi="Times New Roman" w:cs="Times New Roman"/>
          <w:sz w:val="28"/>
          <w:szCs w:val="28"/>
        </w:rPr>
        <w:t>2014-2019</w:t>
      </w:r>
      <w:r w:rsidRPr="00BD55A2">
        <w:rPr>
          <w:rFonts w:ascii="Times New Roman" w:hAnsi="Times New Roman" w:cs="Times New Roman"/>
          <w:sz w:val="28"/>
          <w:szCs w:val="28"/>
        </w:rPr>
        <w:t xml:space="preserve">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BD55A2">
        <w:rPr>
          <w:rFonts w:ascii="Times New Roman" w:hAnsi="Times New Roman" w:cs="Times New Roman"/>
          <w:sz w:val="28"/>
          <w:szCs w:val="28"/>
        </w:rPr>
        <w:t>подпрограммы</w:t>
      </w:r>
      <w:r w:rsidRPr="00BD55A2">
        <w:rPr>
          <w:rFonts w:ascii="Times New Roman" w:hAnsi="Times New Roman" w:cs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BD55A2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BD55A2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E45AF9" w:rsidRPr="00BD55A2" w:rsidRDefault="00E45AF9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</w:t>
      </w:r>
      <w:r w:rsidR="005D665A" w:rsidRPr="00BD55A2">
        <w:rPr>
          <w:rFonts w:ascii="Times New Roman" w:hAnsi="Times New Roman" w:cs="Times New Roman"/>
          <w:sz w:val="28"/>
          <w:szCs w:val="28"/>
        </w:rPr>
        <w:t xml:space="preserve"> организационных и иных рисков</w:t>
      </w:r>
      <w:r w:rsidR="00482738" w:rsidRPr="00BD55A2">
        <w:rPr>
          <w:rFonts w:ascii="Times New Roman" w:hAnsi="Times New Roman" w:cs="Times New Roman"/>
          <w:sz w:val="28"/>
          <w:szCs w:val="28"/>
        </w:rPr>
        <w:t>.</w:t>
      </w: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BD55A2" w:rsidRDefault="00B259E0" w:rsidP="00BD55A2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259E0" w:rsidRPr="00BD55A2" w:rsidSect="00EE5216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D4DC7" w:rsidRPr="00BD55A2" w:rsidRDefault="00781B03" w:rsidP="00BD55A2">
      <w:pPr>
        <w:shd w:val="clear" w:color="auto" w:fill="FFFFFF" w:themeFill="background1"/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4DC7"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</w:t>
      </w:r>
    </w:p>
    <w:p w:rsidR="00437C7A" w:rsidRPr="00BD55A2" w:rsidRDefault="00437C7A" w:rsidP="00BD55A2">
      <w:pPr>
        <w:shd w:val="clear" w:color="auto" w:fill="FFFFFF" w:themeFill="background1"/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E9" w:rsidRPr="00BD55A2" w:rsidRDefault="00F50DE9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основных мероприятий подпрограммы</w:t>
      </w:r>
    </w:p>
    <w:p w:rsidR="00F50DE9" w:rsidRPr="00BD55A2" w:rsidRDefault="00F50DE9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основных мероприятий на 2014</w:t>
      </w:r>
      <w:r w:rsidR="00E437FB"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годы</w:t>
      </w: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71"/>
        <w:gridCol w:w="3294"/>
        <w:gridCol w:w="1150"/>
        <w:gridCol w:w="1591"/>
        <w:gridCol w:w="837"/>
        <w:gridCol w:w="846"/>
        <w:gridCol w:w="852"/>
        <w:gridCol w:w="2783"/>
        <w:gridCol w:w="597"/>
        <w:gridCol w:w="597"/>
        <w:gridCol w:w="1768"/>
      </w:tblGrid>
      <w:tr w:rsidR="00437C7A" w:rsidRPr="00BD55A2" w:rsidTr="00EE38FA">
        <w:trPr>
          <w:trHeight w:val="87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043C3E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  выполне</w:t>
            </w:r>
            <w:r w:rsidR="00437C7A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ния (квартал, год)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  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437C7A" w:rsidRPr="00BD55A2" w:rsidTr="00EE38FA">
        <w:trPr>
          <w:trHeight w:val="489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7C7A" w:rsidRPr="00BD55A2" w:rsidTr="00EE38FA">
        <w:trPr>
          <w:trHeight w:val="12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37C7A" w:rsidRPr="00BD55A2" w:rsidTr="00EE38FA">
        <w:trPr>
          <w:trHeight w:val="20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37C7A" w:rsidRPr="00BD55A2" w:rsidTr="00EE38FA">
        <w:trPr>
          <w:trHeight w:val="153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перечня пустующих муниципальных нежилых помещений, планируемых к переводу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жилые, ед.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КГТР, КИО, УКС, ЦКИМИ</w:t>
            </w:r>
          </w:p>
        </w:tc>
      </w:tr>
      <w:tr w:rsidR="00437C7A" w:rsidRPr="00BD55A2" w:rsidTr="00EE38FA">
        <w:trPr>
          <w:trHeight w:val="978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переустройства и (или) перепланировки пустующих муниципальных нежилых помещений, переводимых в жилые, и (или) иных работ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ind w:left="-123" w:right="-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27 096,7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ind w:left="-123" w:right="-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15 016,3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ind w:left="-123" w:right="-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12 080,4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КГТР, УКС, конкурсный отбор</w:t>
            </w:r>
          </w:p>
        </w:tc>
      </w:tr>
      <w:tr w:rsidR="00437C7A" w:rsidRPr="00BD55A2" w:rsidTr="00EE38FA">
        <w:trPr>
          <w:trHeight w:val="34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текущего или капитального ремонта муниципальных нежилых помещений и снос аварийных нежилых зданий, а также обеспечение ограничения доступа на такие объекты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нежилых помещений, в которых проведен текущий или капитальный ремонт, и нежилых зданий, снос которых осуществлен, или обеспечено ограничение доступа, ед.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КГТР, УКС, конкурсный отбор</w:t>
            </w:r>
          </w:p>
        </w:tc>
      </w:tr>
      <w:tr w:rsidR="00437C7A" w:rsidRPr="00BD55A2" w:rsidTr="00EE38FA">
        <w:trPr>
          <w:trHeight w:val="2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E4EE5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ind w:left="-123" w:right="-2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27 191,4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15 075,2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12 116,2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C7A" w:rsidRPr="00BD55A2" w:rsidRDefault="00437C7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E9" w:rsidRPr="00BD55A2" w:rsidRDefault="00F50DE9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7C7A" w:rsidRPr="00BD55A2" w:rsidRDefault="00437C7A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DE9" w:rsidRPr="00BD55A2" w:rsidRDefault="00F50DE9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основных мероприятий на </w:t>
      </w:r>
      <w:r w:rsidR="006E6157"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2016-2019</w:t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D356F" w:rsidRPr="00BD55A2" w:rsidRDefault="008D356F" w:rsidP="00BD55A2">
      <w:pPr>
        <w:shd w:val="clear" w:color="auto" w:fill="FFFFFF" w:themeFill="background1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84"/>
        <w:gridCol w:w="3036"/>
        <w:gridCol w:w="840"/>
        <w:gridCol w:w="710"/>
        <w:gridCol w:w="852"/>
        <w:gridCol w:w="849"/>
        <w:gridCol w:w="775"/>
        <w:gridCol w:w="784"/>
        <w:gridCol w:w="855"/>
        <w:gridCol w:w="2049"/>
        <w:gridCol w:w="577"/>
        <w:gridCol w:w="577"/>
        <w:gridCol w:w="577"/>
        <w:gridCol w:w="588"/>
        <w:gridCol w:w="1233"/>
      </w:tblGrid>
      <w:tr w:rsidR="00867850" w:rsidRPr="00BD55A2" w:rsidTr="00867850">
        <w:trPr>
          <w:cantSplit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(квартал, год)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867850" w:rsidRPr="00BD55A2" w:rsidTr="00867850">
        <w:trPr>
          <w:cantSplit/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7850" w:rsidRPr="00BD55A2" w:rsidTr="00867850">
        <w:trPr>
          <w:cantSplit/>
          <w:tblHeader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67850" w:rsidRPr="00BD55A2" w:rsidTr="00867850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867850" w:rsidRPr="00BD55A2" w:rsidTr="00867850">
        <w:trPr>
          <w:cantSplit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иных работ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62 463,40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20 963,40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принятых решений об </w:t>
            </w:r>
            <w:proofErr w:type="spell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измнениии</w:t>
            </w:r>
            <w:proofErr w:type="spell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помещения, ед.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КГТР, КИО, УКС, ЦКИМИ</w:t>
            </w:r>
          </w:p>
        </w:tc>
      </w:tr>
      <w:tr w:rsidR="00867850" w:rsidRPr="00BD55A2" w:rsidTr="00867850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формированию перечня пустующих муниципальных нежилых помещений, планируемых к переводу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жилые, ед.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КГТР, КИО, УКС, ЦКИМИ</w:t>
            </w:r>
          </w:p>
        </w:tc>
      </w:tr>
      <w:tr w:rsidR="00867850" w:rsidRPr="00BD55A2" w:rsidTr="00867850">
        <w:trPr>
          <w:cantSplit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62 463,40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20 963,40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КГТР, УКС, конкурсный отбор</w:t>
            </w:r>
          </w:p>
        </w:tc>
      </w:tr>
      <w:tr w:rsidR="00867850" w:rsidRPr="00BD55A2" w:rsidTr="00867850">
        <w:trPr>
          <w:cantSplit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124 515,1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29 515,1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ind w:left="-179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50" w:rsidRPr="00BD55A2" w:rsidRDefault="00867850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67850" w:rsidRPr="00BD55A2" w:rsidRDefault="00867850" w:rsidP="00BD55A2">
      <w:pPr>
        <w:shd w:val="clear" w:color="auto" w:fill="FFFFFF" w:themeFill="background1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  <w:sectPr w:rsidR="00867850" w:rsidRPr="00BD55A2" w:rsidSect="00EE5216">
          <w:pgSz w:w="16838" w:h="11906" w:orient="landscape"/>
          <w:pgMar w:top="851" w:right="1134" w:bottom="851" w:left="1134" w:header="284" w:footer="709" w:gutter="0"/>
          <w:cols w:space="708"/>
          <w:docGrid w:linePitch="360"/>
        </w:sectPr>
      </w:pPr>
    </w:p>
    <w:p w:rsidR="009A6C50" w:rsidRPr="00BD55A2" w:rsidRDefault="009A6C50" w:rsidP="00E11E4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6C50" w:rsidRPr="00BD55A2" w:rsidSect="00E11E42"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F7" w:rsidRDefault="006279F7" w:rsidP="00585AFD">
      <w:pPr>
        <w:spacing w:after="0" w:line="240" w:lineRule="auto"/>
      </w:pPr>
      <w:r>
        <w:separator/>
      </w:r>
    </w:p>
  </w:endnote>
  <w:end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F7" w:rsidRDefault="006279F7" w:rsidP="00585AFD">
      <w:pPr>
        <w:spacing w:after="0" w:line="240" w:lineRule="auto"/>
      </w:pPr>
      <w:r>
        <w:separator/>
      </w:r>
    </w:p>
  </w:footnote>
  <w:foot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700360144"/>
      <w:showingPlcHdr/>
    </w:sdtPr>
    <w:sdtContent>
      <w:p w:rsidR="006279F7" w:rsidRPr="00235139" w:rsidRDefault="00E11E42">
        <w:pPr>
          <w:pStyle w:val="a4"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</w:t>
        </w:r>
      </w:p>
    </w:sdtContent>
  </w:sdt>
  <w:p w:rsidR="006279F7" w:rsidRPr="00235139" w:rsidRDefault="006279F7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7" w:rsidRPr="00613CCB" w:rsidRDefault="006279F7">
    <w:pPr>
      <w:pStyle w:val="a4"/>
      <w:jc w:val="center"/>
      <w:rPr>
        <w:color w:val="000000" w:themeColor="text1"/>
      </w:rPr>
    </w:pPr>
  </w:p>
  <w:p w:rsidR="006279F7" w:rsidRDefault="006279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36392"/>
    <w:rsid w:val="00040AEE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804D1"/>
    <w:rsid w:val="00080706"/>
    <w:rsid w:val="00082041"/>
    <w:rsid w:val="000846A5"/>
    <w:rsid w:val="00085AD8"/>
    <w:rsid w:val="0008601D"/>
    <w:rsid w:val="000863DA"/>
    <w:rsid w:val="000864AD"/>
    <w:rsid w:val="00090317"/>
    <w:rsid w:val="00090E5C"/>
    <w:rsid w:val="00097A86"/>
    <w:rsid w:val="000A4F51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C2B99"/>
    <w:rsid w:val="002C3E38"/>
    <w:rsid w:val="002C508F"/>
    <w:rsid w:val="002C7911"/>
    <w:rsid w:val="002D047C"/>
    <w:rsid w:val="002D102B"/>
    <w:rsid w:val="002D313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1E15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A251A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279F7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7286"/>
    <w:rsid w:val="00716241"/>
    <w:rsid w:val="0072350F"/>
    <w:rsid w:val="0073098D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38E0"/>
    <w:rsid w:val="007B721D"/>
    <w:rsid w:val="007C0780"/>
    <w:rsid w:val="007C0A9A"/>
    <w:rsid w:val="007C24BB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6A42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4B27"/>
    <w:rsid w:val="009554BA"/>
    <w:rsid w:val="009619E4"/>
    <w:rsid w:val="00965905"/>
    <w:rsid w:val="00965AA8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745"/>
    <w:rsid w:val="00A019EF"/>
    <w:rsid w:val="00A02C06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0478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2F71"/>
    <w:rsid w:val="00BD4986"/>
    <w:rsid w:val="00BD55A2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2F8C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2BE9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1E42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76FD7"/>
    <w:rsid w:val="00E83B62"/>
    <w:rsid w:val="00E85B30"/>
    <w:rsid w:val="00E864C8"/>
    <w:rsid w:val="00E94018"/>
    <w:rsid w:val="00E941C9"/>
    <w:rsid w:val="00E968C0"/>
    <w:rsid w:val="00E97767"/>
    <w:rsid w:val="00E97C10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5AD4"/>
    <w:rsid w:val="00F07A83"/>
    <w:rsid w:val="00F12A4D"/>
    <w:rsid w:val="00F12CB3"/>
    <w:rsid w:val="00F137E5"/>
    <w:rsid w:val="00F16A3F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05F6"/>
    <w:rsid w:val="00F66B3B"/>
    <w:rsid w:val="00F67357"/>
    <w:rsid w:val="00F74A60"/>
    <w:rsid w:val="00F75830"/>
    <w:rsid w:val="00F811AF"/>
    <w:rsid w:val="00F82A1E"/>
    <w:rsid w:val="00F82A96"/>
    <w:rsid w:val="00F86FD5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5A88DFD5ED18609CB59B41BA15F7C1129FAB63BB89D0CE35B30EA8FEBD3DF1BB89vEZ5O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11D9B-2AA9-4B3B-B8A7-10C2725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2017-03-24T09:34:00Z</dcterms:created>
  <dcterms:modified xsi:type="dcterms:W3CDTF">2017-03-24T09:41:00Z</dcterms:modified>
</cp:coreProperties>
</file>