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5" w:rsidRPr="00BD55A2" w:rsidRDefault="00585AF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. Подпрограмма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</w:t>
      </w:r>
      <w:r w:rsidR="00151D01" w:rsidRPr="00BD55A2">
        <w:rPr>
          <w:rFonts w:ascii="Times New Roman" w:hAnsi="Times New Roman" w:cs="Times New Roman"/>
          <w:bCs/>
          <w:sz w:val="28"/>
          <w:szCs w:val="28"/>
        </w:rPr>
        <w:t>гоустройства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="00151D01" w:rsidRPr="00BD55A2">
        <w:rPr>
          <w:rFonts w:ascii="Times New Roman" w:hAnsi="Times New Roman" w:cs="Times New Roman"/>
          <w:bCs/>
          <w:sz w:val="28"/>
          <w:szCs w:val="28"/>
        </w:rPr>
        <w:t xml:space="preserve"> на 2014-201</w:t>
      </w:r>
      <w:r w:rsidR="001374C1" w:rsidRPr="00BD55A2">
        <w:rPr>
          <w:rFonts w:ascii="Times New Roman" w:hAnsi="Times New Roman" w:cs="Times New Roman"/>
          <w:bCs/>
          <w:sz w:val="28"/>
          <w:szCs w:val="28"/>
        </w:rPr>
        <w:t>9</w:t>
      </w:r>
      <w:r w:rsidR="00151D01" w:rsidRPr="00BD55A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51D01" w:rsidRPr="00BD55A2" w:rsidRDefault="00151D01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AA5" w:rsidRPr="00BD55A2" w:rsidRDefault="00151D01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151D01" w:rsidRPr="00BD55A2" w:rsidRDefault="00151D01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543"/>
      </w:tblGrid>
      <w:tr w:rsidR="00B259E0" w:rsidRPr="00BD55A2" w:rsidTr="00584C55">
        <w:trPr>
          <w:trHeight w:val="1509"/>
        </w:trPr>
        <w:tc>
          <w:tcPr>
            <w:tcW w:w="1172" w:type="pct"/>
            <w:vAlign w:val="center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28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и жилищная политика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2014-201</w:t>
            </w:r>
            <w:r w:rsidR="003C26C7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815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28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</w:t>
            </w:r>
            <w:r w:rsidR="005773EF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устроенными жилыми помещениями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3677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28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1. 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2. Доля граждан, переселенных из многоквартирных домов пониженной капитальности, имеющих не все виды благоустройства.</w:t>
            </w:r>
          </w:p>
          <w:p w:rsidR="00585AFD" w:rsidRPr="00BD55A2" w:rsidRDefault="00E57AA5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85AFD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благоустройства.</w:t>
            </w:r>
          </w:p>
          <w:p w:rsidR="00A019EF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4. Расселенная площадь жилых помещений, расположенных в многоквартирных домах пониженной капитальности, имеющих не все виды благоустройства</w:t>
            </w:r>
            <w:r w:rsidR="00A019EF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28" w:type="pct"/>
          </w:tcPr>
          <w:p w:rsidR="00585AFD" w:rsidRPr="00BD55A2" w:rsidRDefault="00E57AA5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85AFD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КИО;</w:t>
            </w:r>
          </w:p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 КГТР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28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КИО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836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28" w:type="pct"/>
          </w:tcPr>
          <w:p w:rsidR="00585AFD" w:rsidRPr="00BD55A2" w:rsidRDefault="00333C94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2014-2019</w:t>
            </w:r>
            <w:r w:rsidR="00585AFD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9D128D" w:rsidRPr="00BD55A2" w:rsidTr="00584C55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1172" w:type="pct"/>
          </w:tcPr>
          <w:p w:rsidR="009D128D" w:rsidRPr="00BD55A2" w:rsidRDefault="009D128D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8" w:type="pct"/>
          </w:tcPr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Всего по подпрограмме: 8 061 932,1 тыс. руб., в том числе: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МБ: 887 999,3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49 699,1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2015 год – 3 358,6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184 883,1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190 058,5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230 000,0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230 000,0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ВБ: 7 173 932,8 тыс. руб., из них: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2014 год – 24 741,8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2016 год – 1 500,0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2017 год – 12 000,0 тыс. руб.; </w:t>
            </w:r>
          </w:p>
          <w:p w:rsidR="00F86FD5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2018 год – 16 500,0 тыс. руб.; </w:t>
            </w:r>
          </w:p>
          <w:p w:rsidR="000B583E" w:rsidRPr="00BD55A2" w:rsidRDefault="00F86FD5" w:rsidP="00BD55A2">
            <w:pPr>
              <w:shd w:val="clear" w:color="auto" w:fill="FFFFFF" w:themeFill="background1"/>
              <w:tabs>
                <w:tab w:val="left" w:pos="1693"/>
                <w:tab w:val="left" w:pos="3160"/>
                <w:tab w:val="left" w:pos="4680"/>
                <w:tab w:val="left" w:pos="70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2019 год – 7 119 191,0 тыс. руб.</w:t>
            </w:r>
            <w:r w:rsidRPr="00BD55A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B259E0" w:rsidRPr="00BD55A2" w:rsidTr="00584C55">
        <w:tblPrEx>
          <w:tblCellMar>
            <w:left w:w="70" w:type="dxa"/>
            <w:right w:w="70" w:type="dxa"/>
          </w:tblCellMar>
        </w:tblPrEx>
        <w:trPr>
          <w:trHeight w:val="1481"/>
        </w:trPr>
        <w:tc>
          <w:tcPr>
            <w:tcW w:w="1172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28" w:type="pct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благоустроенным жильем </w:t>
            </w:r>
            <w:r w:rsidR="00F86FD5"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8 889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</w:t>
            </w:r>
          </w:p>
        </w:tc>
      </w:tr>
    </w:tbl>
    <w:p w:rsidR="00E57AA5" w:rsidRPr="00BD55A2" w:rsidRDefault="00E57AA5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E57AA5" w:rsidRPr="00BD55A2" w:rsidRDefault="00E57AA5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B65E6E" w:rsidRPr="00BD55A2" w:rsidRDefault="00B65E6E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B65E6E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BD55A2">
        <w:rPr>
          <w:rFonts w:ascii="Times New Roman" w:hAnsi="Times New Roman" w:cs="Times New Roman"/>
          <w:bCs/>
          <w:sz w:val="28"/>
          <w:szCs w:val="28"/>
        </w:rPr>
        <w:t>Основная цель и задачи подпрограммы, целевые показатели (индикаторы) реализации подпрограммы</w:t>
      </w:r>
    </w:p>
    <w:p w:rsidR="00B65E6E" w:rsidRPr="00BD55A2" w:rsidRDefault="00B65E6E" w:rsidP="00BD55A2">
      <w:pPr>
        <w:pStyle w:val="a6"/>
        <w:shd w:val="clear" w:color="auto" w:fill="FFFFFF" w:themeFill="background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45"/>
        <w:gridCol w:w="658"/>
        <w:gridCol w:w="952"/>
        <w:gridCol w:w="876"/>
        <w:gridCol w:w="745"/>
        <w:gridCol w:w="632"/>
        <w:gridCol w:w="936"/>
        <w:gridCol w:w="753"/>
        <w:gridCol w:w="753"/>
        <w:gridCol w:w="999"/>
      </w:tblGrid>
      <w:tr w:rsidR="006371D3" w:rsidRPr="00BD55A2" w:rsidTr="0026430F">
        <w:trPr>
          <w:tblHeader/>
        </w:trPr>
        <w:tc>
          <w:tcPr>
            <w:tcW w:w="268" w:type="pct"/>
            <w:vMerge w:val="restart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" w:type="pct"/>
            <w:vMerge w:val="restart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601" w:type="pct"/>
            <w:gridSpan w:val="9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371D3" w:rsidRPr="00BD55A2" w:rsidTr="0026430F">
        <w:trPr>
          <w:trHeight w:val="204"/>
          <w:tblHeader/>
        </w:trPr>
        <w:tc>
          <w:tcPr>
            <w:tcW w:w="268" w:type="pct"/>
            <w:vMerge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1" w:type="pct"/>
            <w:tcBorders>
              <w:bottom w:val="nil"/>
            </w:tcBorders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ind w:left="-172" w:righ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8F3057"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40" w:type="pct"/>
            <w:tcBorders>
              <w:bottom w:val="nil"/>
            </w:tcBorders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ind w:left="-106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8F3057"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354" w:type="pct"/>
            <w:gridSpan w:val="6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F3057" w:rsidRPr="00BD55A2" w:rsidTr="0026430F">
        <w:trPr>
          <w:tblHeader/>
        </w:trPr>
        <w:tc>
          <w:tcPr>
            <w:tcW w:w="268" w:type="pct"/>
            <w:vMerge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ind w:left="-5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40" w:type="pct"/>
            <w:tcBorders>
              <w:top w:val="nil"/>
            </w:tcBorders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ind w:left="-5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82" w:type="pct"/>
            <w:vAlign w:val="center"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22" w:type="pct"/>
            <w:vAlign w:val="center"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ind w:left="-5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82" w:type="pct"/>
            <w:vAlign w:val="center"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2" w:type="pct"/>
            <w:vAlign w:val="center"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" w:type="pct"/>
            <w:vAlign w:val="center"/>
          </w:tcPr>
          <w:p w:rsidR="00045D64" w:rsidRPr="00BD55A2" w:rsidRDefault="00045D6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03" w:type="pct"/>
            <w:vAlign w:val="center"/>
          </w:tcPr>
          <w:p w:rsidR="00045D64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8F3057" w:rsidRPr="00BD55A2" w:rsidTr="0026430F">
        <w:trPr>
          <w:trHeight w:val="82"/>
          <w:tblHeader/>
        </w:trPr>
        <w:tc>
          <w:tcPr>
            <w:tcW w:w="268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vAlign w:val="center"/>
          </w:tcPr>
          <w:p w:rsidR="001374C1" w:rsidRPr="00BD55A2" w:rsidRDefault="001374C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371D3" w:rsidRPr="00BD55A2" w:rsidTr="00F04663">
        <w:trPr>
          <w:trHeight w:val="625"/>
        </w:trPr>
        <w:tc>
          <w:tcPr>
            <w:tcW w:w="5000" w:type="pct"/>
            <w:gridSpan w:val="11"/>
            <w:vAlign w:val="center"/>
          </w:tcPr>
          <w:p w:rsidR="006371D3" w:rsidRPr="00BD55A2" w:rsidRDefault="006371D3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26430F" w:rsidRPr="00BD55A2" w:rsidTr="0026430F">
        <w:tc>
          <w:tcPr>
            <w:tcW w:w="268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не все виды благоустройства</w:t>
            </w:r>
          </w:p>
        </w:tc>
        <w:tc>
          <w:tcPr>
            <w:tcW w:w="326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81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0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247*</w:t>
            </w:r>
          </w:p>
        </w:tc>
        <w:tc>
          <w:tcPr>
            <w:tcW w:w="32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66*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0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7 891</w:t>
            </w:r>
          </w:p>
        </w:tc>
      </w:tr>
      <w:tr w:rsidR="0026430F" w:rsidRPr="00BD55A2" w:rsidTr="0026430F">
        <w:trPr>
          <w:trHeight w:val="2342"/>
        </w:trPr>
        <w:tc>
          <w:tcPr>
            <w:tcW w:w="268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1" w:type="pct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граждан, переселенных из многоквартирных домов пониженной капитальности, имеющих не все виды благоустройства (нарастающим итогом)</w:t>
            </w:r>
          </w:p>
        </w:tc>
        <w:tc>
          <w:tcPr>
            <w:tcW w:w="326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32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50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6430F" w:rsidRPr="00BD55A2" w:rsidTr="0026430F">
        <w:tc>
          <w:tcPr>
            <w:tcW w:w="268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26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1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0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103*</w:t>
            </w:r>
          </w:p>
        </w:tc>
        <w:tc>
          <w:tcPr>
            <w:tcW w:w="32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0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3467</w:t>
            </w:r>
          </w:p>
        </w:tc>
      </w:tr>
      <w:tr w:rsidR="0026430F" w:rsidRPr="00BD55A2" w:rsidTr="0026430F">
        <w:tc>
          <w:tcPr>
            <w:tcW w:w="268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26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81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596,7</w:t>
            </w:r>
          </w:p>
        </w:tc>
        <w:tc>
          <w:tcPr>
            <w:tcW w:w="440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6416,9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left="-172"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3668,3</w:t>
            </w:r>
          </w:p>
        </w:tc>
        <w:tc>
          <w:tcPr>
            <w:tcW w:w="32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left="-172"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788,1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2 140,2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left="-172"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3381,8</w:t>
            </w:r>
          </w:p>
        </w:tc>
        <w:tc>
          <w:tcPr>
            <w:tcW w:w="3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left="-172"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5 233,3</w:t>
            </w:r>
          </w:p>
        </w:tc>
        <w:tc>
          <w:tcPr>
            <w:tcW w:w="50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left="-172"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126081,9</w:t>
            </w:r>
          </w:p>
        </w:tc>
      </w:tr>
    </w:tbl>
    <w:p w:rsidR="006371D3" w:rsidRPr="00BD55A2" w:rsidRDefault="006371D3" w:rsidP="00BD55A2">
      <w:pPr>
        <w:pStyle w:val="af2"/>
        <w:shd w:val="clear" w:color="auto" w:fill="FFFFFF" w:themeFill="background1"/>
        <w:jc w:val="both"/>
        <w:rPr>
          <w:b w:val="0"/>
          <w:bCs/>
          <w:color w:val="FF0000"/>
          <w:sz w:val="28"/>
          <w:szCs w:val="28"/>
        </w:rPr>
      </w:pPr>
      <w:r w:rsidRPr="00BD55A2">
        <w:rPr>
          <w:b w:val="0"/>
          <w:bCs/>
          <w:sz w:val="28"/>
          <w:szCs w:val="28"/>
        </w:rPr>
        <w:tab/>
        <w:t>* В том числе в ранее приобретенные жилые помещения, а также в пустующие муниципальные жилые помещения.</w:t>
      </w:r>
    </w:p>
    <w:p w:rsidR="00F05AD4" w:rsidRPr="00BD55A2" w:rsidRDefault="00F05AD4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29A4" w:rsidRPr="00BD55A2" w:rsidRDefault="00585AF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подпрограммы</w:t>
      </w:r>
    </w:p>
    <w:p w:rsidR="00CC75BC" w:rsidRPr="00BD55A2" w:rsidRDefault="00CC75BC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градостроительства и территориального развития администрации города Мурманска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подпрограммы: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организация и проведение работ по подготовке документов, содержащих необходимые для осуществления кадастрового учета сведения о земельных участках;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строительство и приобретение жилья для граждан, проживающих в многоквартирных домах пониженной капитальности, имеющих не все виды благоустройства;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передача благоустроенных жилых помещений гражданам, проживающим в многоквартирных домах, включенных в подпрограмму;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организация сноса или реконструкции расселенных домов либо перевод указанного имущества в состав нежилого фонда.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градостроительства и территориального развития администрации города Мурманска (исполнитель –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граждан, завершаются в </w:t>
      </w:r>
      <w:r w:rsidRPr="00BD55A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квартале текущего года, фактическое переселение граждан в такие жилые помещения может осуществляться как в текущем, так и в следующем году.</w:t>
      </w:r>
    </w:p>
    <w:p w:rsidR="00585AFD" w:rsidRPr="00BD55A2" w:rsidRDefault="00585AFD" w:rsidP="00BD55A2">
      <w:pPr>
        <w:shd w:val="clear" w:color="auto" w:fill="FFFFFF" w:themeFill="background1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FD29A4" w:rsidRPr="00BD55A2" w:rsidRDefault="00FD29A4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подпрограммы</w:t>
      </w:r>
    </w:p>
    <w:p w:rsidR="00FD29A4" w:rsidRPr="00BD55A2" w:rsidRDefault="00FD29A4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строительства и приобретения жилья для граждан, проживающих в многоквартирных домах пониженной капитальности, имеющих не все виды благоустройства, произведен с использованием стоимости одного квадратного метра общей площади благоустроенного жилья на 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Pr="00BD55A2">
        <w:rPr>
          <w:rFonts w:ascii="Times New Roman" w:hAnsi="Times New Roman" w:cs="Times New Roman"/>
          <w:bCs/>
          <w:sz w:val="28"/>
          <w:szCs w:val="28"/>
        </w:rPr>
        <w:t>Мурманскстат</w:t>
      </w:r>
      <w:proofErr w:type="spellEnd"/>
      <w:r w:rsidRPr="00BD55A2">
        <w:rPr>
          <w:rFonts w:ascii="Times New Roman" w:hAnsi="Times New Roman" w:cs="Times New Roman"/>
          <w:bCs/>
          <w:sz w:val="28"/>
          <w:szCs w:val="28"/>
        </w:rPr>
        <w:t>) о средней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цене за один квадратный метр общей площади квартир на вторичном рынке жилья в городе Мурманске в 1 квартале 2015 года. 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 для переселения граждан, проживающих в многоквартирных домах пониженной капитальности, имеющих не все виды благоустройства, стоимость одного квадратного метра общей площади благоустроенного жилья установлена в размере 55,0 тыс. руб.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приобретении жилых помещений путем участия в долевом строительстве – 55,0 тыс. руб.;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при приобретении жилых помещений на первичном рынке </w:t>
      </w:r>
      <w:r w:rsidRPr="00BD55A2">
        <w:rPr>
          <w:rFonts w:ascii="Times New Roman" w:hAnsi="Times New Roman" w:cs="Times New Roman"/>
          <w:bCs/>
          <w:sz w:val="28"/>
          <w:szCs w:val="28"/>
        </w:rPr>
        <w:br/>
        <w:t>жилья – 55,0 тыс. руб.;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- при приобретении жилых помещений на вторичном рынке жилья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Закон 44-ФЗ).</w:t>
      </w:r>
      <w:proofErr w:type="gramEnd"/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</w:t>
      </w:r>
      <w:r w:rsidRPr="00BD55A2">
        <w:rPr>
          <w:rFonts w:ascii="Times New Roman" w:hAnsi="Times New Roman" w:cs="Times New Roman"/>
          <w:bCs/>
          <w:sz w:val="28"/>
          <w:szCs w:val="28"/>
        </w:rPr>
        <w:br/>
        <w:t>44-ФЗ, на общую площадь жилого помещения, которое требуется приобрести.</w:t>
      </w:r>
      <w:proofErr w:type="gramEnd"/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(цены лота) осуществляется по максимальной площади.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При этом цена муниципального контракта (цена лота),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итогам процедуры определения поставщика (подрядчика, исполнителя).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Для осуществления указанных мероприятий в рамках настоящей подпрограммы предусмотрено финансирование в размере 488 702,4 тыс. руб., из них: 16 202,4 тыс. руб. за счет средств местного бюджета и 472 500,0 тыс. руб. за счет внебюджетных средств.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кадастровая съемка участка – 10,0 тыс. руб.;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изготовление схемы расположения земельных участков на кадастровом плане территории – 20,0 тыс. руб.;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оформление межевого плана – 20,0 тыс. руб.;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изготовление карты-плана –21,0 тыс. руб. 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 необходимых для реализации подпрограммы заложена в размере 50,0 тыс. руб. в отношении одного земельного участка.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2015 году по муниципальным контрактам, заключенным комитетом имущественных отношений города Мурманска;</w:t>
      </w:r>
    </w:p>
    <w:p w:rsidR="0025759D" w:rsidRPr="00BD55A2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25759D" w:rsidRPr="004D5961" w:rsidRDefault="0025759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</w:t>
      </w:r>
      <w:r w:rsidR="004D5961" w:rsidRPr="004D5961">
        <w:rPr>
          <w:rFonts w:ascii="Times New Roman" w:hAnsi="Times New Roman" w:cs="Times New Roman"/>
          <w:bCs/>
          <w:sz w:val="28"/>
          <w:szCs w:val="28"/>
        </w:rPr>
        <w:br/>
      </w:r>
      <w:r w:rsidR="004D596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4D596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4D596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4D596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4D596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257"/>
        <w:gridCol w:w="930"/>
        <w:gridCol w:w="816"/>
        <w:gridCol w:w="1062"/>
        <w:gridCol w:w="1147"/>
        <w:gridCol w:w="1208"/>
        <w:gridCol w:w="1397"/>
      </w:tblGrid>
      <w:tr w:rsidR="0025759D" w:rsidRPr="00BD55A2" w:rsidTr="0025759D">
        <w:trPr>
          <w:trHeight w:val="323"/>
          <w:tblHeader/>
        </w:trPr>
        <w:tc>
          <w:tcPr>
            <w:tcW w:w="1033" w:type="pct"/>
            <w:vMerge w:val="restar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Всего,</w:t>
            </w:r>
          </w:p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329" w:type="pct"/>
            <w:gridSpan w:val="6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реализации,</w:t>
            </w:r>
          </w:p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25759D" w:rsidRPr="00BD55A2" w:rsidTr="0025759D">
        <w:trPr>
          <w:trHeight w:val="388"/>
          <w:tblHeader/>
        </w:trPr>
        <w:tc>
          <w:tcPr>
            <w:tcW w:w="1033" w:type="pct"/>
            <w:vMerge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414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539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82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613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25759D" w:rsidRPr="00BD55A2" w:rsidTr="0025759D">
        <w:trPr>
          <w:trHeight w:val="82"/>
          <w:tblHeader/>
        </w:trPr>
        <w:tc>
          <w:tcPr>
            <w:tcW w:w="1033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6430F" w:rsidRPr="00BD55A2" w:rsidTr="0025759D">
        <w:trPr>
          <w:trHeight w:val="415"/>
        </w:trPr>
        <w:tc>
          <w:tcPr>
            <w:tcW w:w="103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8 061 932,1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74 440,9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3 358,6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186 383,1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ind w:left="-147" w:right="-19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202 058,5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246 500,0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7 349 191,0</w:t>
            </w:r>
          </w:p>
        </w:tc>
      </w:tr>
      <w:tr w:rsidR="0025759D" w:rsidRPr="00BD55A2" w:rsidTr="0025759D">
        <w:trPr>
          <w:trHeight w:val="92"/>
        </w:trPr>
        <w:tc>
          <w:tcPr>
            <w:tcW w:w="5000" w:type="pct"/>
            <w:gridSpan w:val="8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26430F" w:rsidRPr="00BD55A2" w:rsidTr="0025759D">
        <w:tc>
          <w:tcPr>
            <w:tcW w:w="103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887 999,3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49 699,1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3 358,6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184 883,1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ind w:left="-147" w:right="-19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190058,5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230 000,0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230 000,0</w:t>
            </w:r>
          </w:p>
        </w:tc>
      </w:tr>
      <w:tr w:rsidR="0026430F" w:rsidRPr="00BD55A2" w:rsidTr="0025759D">
        <w:trPr>
          <w:trHeight w:val="406"/>
        </w:trPr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7 173 932,8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24 741,8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12 000,0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16 500,0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7 119 191,0</w:t>
            </w:r>
          </w:p>
        </w:tc>
      </w:tr>
      <w:tr w:rsidR="0025759D" w:rsidRPr="00BD55A2" w:rsidTr="0025759D">
        <w:trPr>
          <w:trHeight w:val="114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заказчикам:</w:t>
            </w:r>
          </w:p>
        </w:tc>
      </w:tr>
      <w:tr w:rsidR="0025759D" w:rsidRPr="00BD55A2" w:rsidTr="0025759D">
        <w:trPr>
          <w:trHeight w:val="146"/>
        </w:trPr>
        <w:tc>
          <w:tcPr>
            <w:tcW w:w="5000" w:type="pct"/>
            <w:gridSpan w:val="8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26430F" w:rsidRPr="00BD55A2" w:rsidTr="0025759D"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874 052,2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45 496,7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178 749,1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188906,4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230 000,0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230 000,0</w:t>
            </w:r>
          </w:p>
        </w:tc>
      </w:tr>
      <w:tr w:rsidR="0026430F" w:rsidRPr="00BD55A2" w:rsidTr="0025759D">
        <w:trPr>
          <w:trHeight w:val="436"/>
        </w:trPr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7 152 932,8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5 241,8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12 000,0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16 500,0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7 119 191,0</w:t>
            </w:r>
          </w:p>
        </w:tc>
      </w:tr>
      <w:tr w:rsidR="0025759D" w:rsidRPr="00BD55A2" w:rsidTr="0025759D">
        <w:trPr>
          <w:trHeight w:val="436"/>
        </w:trPr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13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59D" w:rsidRPr="00BD55A2" w:rsidTr="0025759D">
        <w:trPr>
          <w:trHeight w:val="80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Мурманска:</w:t>
            </w:r>
          </w:p>
        </w:tc>
      </w:tr>
      <w:tr w:rsidR="0026430F" w:rsidRPr="00BD55A2" w:rsidTr="0025759D">
        <w:trPr>
          <w:trHeight w:val="233"/>
        </w:trPr>
        <w:tc>
          <w:tcPr>
            <w:tcW w:w="1033" w:type="pct"/>
          </w:tcPr>
          <w:p w:rsidR="0026430F" w:rsidRPr="00BD55A2" w:rsidRDefault="0026430F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13 947,1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4 202,4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2 458,6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6 134,0</w:t>
            </w:r>
          </w:p>
        </w:tc>
        <w:tc>
          <w:tcPr>
            <w:tcW w:w="582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1 152,1</w:t>
            </w:r>
          </w:p>
        </w:tc>
        <w:tc>
          <w:tcPr>
            <w:tcW w:w="613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pct"/>
            <w:vAlign w:val="center"/>
          </w:tcPr>
          <w:p w:rsidR="0026430F" w:rsidRPr="00BD55A2" w:rsidRDefault="0026430F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40AEE" w:rsidRPr="00BD55A2" w:rsidTr="0025759D">
        <w:tc>
          <w:tcPr>
            <w:tcW w:w="1033" w:type="pct"/>
            <w:tcMar>
              <w:left w:w="28" w:type="dxa"/>
              <w:right w:w="28" w:type="dxa"/>
            </w:tcMar>
          </w:tcPr>
          <w:p w:rsidR="00040AEE" w:rsidRPr="00BD55A2" w:rsidRDefault="00040AEE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21 000,0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19 500,0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  <w:tc>
          <w:tcPr>
            <w:tcW w:w="582" w:type="pct"/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13" w:type="pct"/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pct"/>
            <w:vAlign w:val="center"/>
          </w:tcPr>
          <w:p w:rsidR="00040AEE" w:rsidRPr="00BD55A2" w:rsidRDefault="00040AEE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759D" w:rsidRPr="00BD55A2" w:rsidTr="0025759D">
        <w:trPr>
          <w:trHeight w:val="440"/>
        </w:trPr>
        <w:tc>
          <w:tcPr>
            <w:tcW w:w="1033" w:type="pct"/>
            <w:tcMar>
              <w:left w:w="28" w:type="dxa"/>
              <w:right w:w="28" w:type="dxa"/>
            </w:tcMar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638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13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pct"/>
            <w:vAlign w:val="center"/>
          </w:tcPr>
          <w:p w:rsidR="0025759D" w:rsidRPr="00BD55A2" w:rsidRDefault="0025759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25759D" w:rsidRPr="00BD55A2" w:rsidRDefault="0025759D" w:rsidP="00BD55A2">
      <w:pPr>
        <w:pStyle w:val="ConsNormal"/>
        <w:widowControl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AFD" w:rsidRPr="00BD55A2" w:rsidRDefault="00FD29A4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85AFD" w:rsidRPr="00BD55A2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FD29A4" w:rsidRPr="00BD55A2" w:rsidRDefault="00FD29A4" w:rsidP="00BD55A2">
      <w:pPr>
        <w:pStyle w:val="a6"/>
        <w:shd w:val="clear" w:color="auto" w:fill="FFFFFF" w:themeFill="background1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градостроительства и территориального развития администрации города Мурманска.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Заказчик</w:t>
      </w:r>
      <w:r w:rsidR="00E437FB" w:rsidRPr="00BD55A2">
        <w:rPr>
          <w:rFonts w:ascii="Times New Roman" w:hAnsi="Times New Roman" w:cs="Times New Roman"/>
          <w:bCs/>
          <w:sz w:val="28"/>
          <w:szCs w:val="28"/>
        </w:rPr>
        <w:t>-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координатор подпрограммы – комитет имущественных отношений города Мурманска.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Комитет имущественных отношений города Мурманска осуществляет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текущее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управление реализацией подпрограммы, оперативный контроль за ходом ее выполнения.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отчеты о ходе реализации своих мероприятий в срок до 01 февраля года, следующего за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>, направляет их в комитет имущественных отношений города Мурманска.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324 многоквартирных домах пониженной капитальности, имеющих не все виды благоустройства, после признания таких домов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аварийными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Признание многоквартирных домов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аварийными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организации.</w:t>
      </w:r>
    </w:p>
    <w:p w:rsidR="00E941C9" w:rsidRPr="00BD55A2" w:rsidRDefault="00E941C9" w:rsidP="00BD55A2">
      <w:pPr>
        <w:shd w:val="clear" w:color="auto" w:fill="FFFFFF" w:themeFill="background1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040AEE" w:rsidRPr="00BD55A2">
        <w:rPr>
          <w:rFonts w:ascii="Times New Roman" w:hAnsi="Times New Roman" w:cs="Times New Roman"/>
          <w:sz w:val="28"/>
          <w:szCs w:val="28"/>
        </w:rPr>
        <w:t>01</w:t>
      </w:r>
      <w:r w:rsidR="00850541" w:rsidRPr="00BD55A2">
        <w:rPr>
          <w:rFonts w:ascii="Times New Roman" w:hAnsi="Times New Roman" w:cs="Times New Roman"/>
          <w:sz w:val="28"/>
          <w:szCs w:val="28"/>
        </w:rPr>
        <w:t>.0</w:t>
      </w:r>
      <w:r w:rsidR="00040AEE" w:rsidRPr="00BD55A2">
        <w:rPr>
          <w:rFonts w:ascii="Times New Roman" w:hAnsi="Times New Roman" w:cs="Times New Roman"/>
          <w:sz w:val="28"/>
          <w:szCs w:val="28"/>
        </w:rPr>
        <w:t>1</w:t>
      </w:r>
      <w:r w:rsidR="00850541" w:rsidRPr="00BD55A2">
        <w:rPr>
          <w:rFonts w:ascii="Times New Roman" w:hAnsi="Times New Roman" w:cs="Times New Roman"/>
          <w:sz w:val="28"/>
          <w:szCs w:val="28"/>
        </w:rPr>
        <w:t>.201</w:t>
      </w:r>
      <w:r w:rsidR="00040AEE" w:rsidRPr="00BD55A2">
        <w:rPr>
          <w:rFonts w:ascii="Times New Roman" w:hAnsi="Times New Roman" w:cs="Times New Roman"/>
          <w:sz w:val="28"/>
          <w:szCs w:val="28"/>
        </w:rPr>
        <w:t>7</w:t>
      </w:r>
      <w:r w:rsidRPr="00BD55A2">
        <w:rPr>
          <w:rFonts w:ascii="Times New Roman" w:hAnsi="Times New Roman" w:cs="Times New Roman"/>
          <w:bCs/>
          <w:sz w:val="28"/>
          <w:szCs w:val="28"/>
        </w:rPr>
        <w:t>, приведен в приложении   № 2 к настоящей подпрограмме.</w:t>
      </w:r>
    </w:p>
    <w:p w:rsidR="00E941C9" w:rsidRPr="00BD55A2" w:rsidRDefault="00E941C9" w:rsidP="00BD55A2">
      <w:pPr>
        <w:shd w:val="clear" w:color="auto" w:fill="FFFFFF" w:themeFill="background1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BA0478" w:rsidRPr="00BD55A2">
        <w:rPr>
          <w:rFonts w:ascii="Times New Roman" w:hAnsi="Times New Roman" w:cs="Times New Roman"/>
          <w:sz w:val="28"/>
          <w:szCs w:val="28"/>
        </w:rPr>
        <w:t>01</w:t>
      </w:r>
      <w:r w:rsidR="00850541" w:rsidRPr="00BD55A2">
        <w:rPr>
          <w:rFonts w:ascii="Times New Roman" w:hAnsi="Times New Roman" w:cs="Times New Roman"/>
          <w:sz w:val="28"/>
          <w:szCs w:val="28"/>
        </w:rPr>
        <w:t>.0</w:t>
      </w:r>
      <w:r w:rsidR="00BA0478" w:rsidRPr="00BD55A2">
        <w:rPr>
          <w:rFonts w:ascii="Times New Roman" w:hAnsi="Times New Roman" w:cs="Times New Roman"/>
          <w:sz w:val="28"/>
          <w:szCs w:val="28"/>
        </w:rPr>
        <w:t>1</w:t>
      </w:r>
      <w:r w:rsidR="00850541" w:rsidRPr="00BD55A2">
        <w:rPr>
          <w:rFonts w:ascii="Times New Roman" w:hAnsi="Times New Roman" w:cs="Times New Roman"/>
          <w:sz w:val="28"/>
          <w:szCs w:val="28"/>
        </w:rPr>
        <w:t>.201</w:t>
      </w:r>
      <w:r w:rsidR="00BA0478" w:rsidRPr="00BD55A2">
        <w:rPr>
          <w:rFonts w:ascii="Times New Roman" w:hAnsi="Times New Roman" w:cs="Times New Roman"/>
          <w:sz w:val="28"/>
          <w:szCs w:val="28"/>
        </w:rPr>
        <w:t>7</w:t>
      </w:r>
      <w:r w:rsidRPr="00BD55A2">
        <w:rPr>
          <w:rFonts w:ascii="Times New Roman" w:hAnsi="Times New Roman" w:cs="Times New Roman"/>
          <w:bCs/>
          <w:sz w:val="28"/>
          <w:szCs w:val="28"/>
        </w:rPr>
        <w:t>, приведен в приложении № 3 к настоящей подпрограмме.</w:t>
      </w:r>
    </w:p>
    <w:p w:rsidR="00E941C9" w:rsidRPr="00BD55A2" w:rsidRDefault="00E941C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аварийных многоквартирных домов, подлежащих сносу в 201</w:t>
      </w:r>
      <w:r w:rsidR="00BA0478" w:rsidRPr="00BD55A2">
        <w:rPr>
          <w:rFonts w:ascii="Times New Roman" w:hAnsi="Times New Roman" w:cs="Times New Roman"/>
          <w:bCs/>
          <w:sz w:val="28"/>
          <w:szCs w:val="28"/>
        </w:rPr>
        <w:t>7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году, и аварийных многоквартирных домов, снос которых произведен ранее или не требуется, представлен в приложении № 4.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в том числе на участие в долевом строительстве, 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аварийными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AB6163" w:rsidRPr="00BD55A2" w:rsidRDefault="00AB6163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FD29A4" w:rsidRPr="00BD55A2" w:rsidRDefault="00FD29A4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Результатом реализации подпрограммы является </w:t>
      </w:r>
      <w:r w:rsidR="00082041" w:rsidRPr="00BD55A2">
        <w:rPr>
          <w:rFonts w:ascii="Times New Roman" w:hAnsi="Times New Roman" w:cs="Times New Roman"/>
          <w:bCs/>
          <w:sz w:val="28"/>
          <w:szCs w:val="28"/>
        </w:rPr>
        <w:t>обеспечение благоустроенным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жильем </w:t>
      </w:r>
      <w:r w:rsidR="00BA0478" w:rsidRPr="00BD55A2">
        <w:rPr>
          <w:rFonts w:ascii="Times New Roman" w:hAnsi="Times New Roman" w:cs="Times New Roman"/>
          <w:bCs/>
          <w:sz w:val="28"/>
          <w:szCs w:val="28"/>
        </w:rPr>
        <w:t>8 889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граждан, проживающих в 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>3</w:t>
      </w:r>
      <w:r w:rsidR="00970F3B" w:rsidRPr="00BD55A2">
        <w:rPr>
          <w:rFonts w:ascii="Times New Roman" w:hAnsi="Times New Roman" w:cs="Times New Roman"/>
          <w:bCs/>
          <w:sz w:val="28"/>
          <w:szCs w:val="28"/>
        </w:rPr>
        <w:t>11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домах пониженной капитальности, имеющих не все виды благоустройства, с высвобождением 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970F3B" w:rsidRPr="00BD55A2">
        <w:rPr>
          <w:rFonts w:ascii="Times New Roman" w:hAnsi="Times New Roman" w:cs="Times New Roman"/>
          <w:bCs/>
          <w:sz w:val="28"/>
          <w:szCs w:val="28"/>
        </w:rPr>
        <w:t>9</w:t>
      </w:r>
      <w:r w:rsidR="00BA0478" w:rsidRPr="00BD55A2">
        <w:rPr>
          <w:rFonts w:ascii="Times New Roman" w:hAnsi="Times New Roman" w:cs="Times New Roman"/>
          <w:bCs/>
          <w:sz w:val="28"/>
          <w:szCs w:val="28"/>
        </w:rPr>
        <w:t>1</w:t>
      </w:r>
      <w:r w:rsidR="00970F3B" w:rsidRPr="00BD55A2">
        <w:rPr>
          <w:rFonts w:ascii="Times New Roman" w:hAnsi="Times New Roman" w:cs="Times New Roman"/>
          <w:bCs/>
          <w:sz w:val="28"/>
          <w:szCs w:val="28"/>
        </w:rPr>
        <w:t>4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жилых помещений общей площадью 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>14</w:t>
      </w:r>
      <w:r w:rsidR="00970F3B" w:rsidRPr="00BD55A2">
        <w:rPr>
          <w:rFonts w:ascii="Times New Roman" w:hAnsi="Times New Roman" w:cs="Times New Roman"/>
          <w:bCs/>
          <w:sz w:val="28"/>
          <w:szCs w:val="28"/>
        </w:rPr>
        <w:t>1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> </w:t>
      </w:r>
      <w:r w:rsidR="00BA0478" w:rsidRPr="00BD55A2">
        <w:rPr>
          <w:rFonts w:ascii="Times New Roman" w:hAnsi="Times New Roman" w:cs="Times New Roman"/>
          <w:bCs/>
          <w:sz w:val="28"/>
          <w:szCs w:val="28"/>
        </w:rPr>
        <w:t>567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>,</w:t>
      </w:r>
      <w:r w:rsidR="00970F3B" w:rsidRPr="00BD55A2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AB64C7" w:rsidRPr="00BD55A2">
        <w:rPr>
          <w:rFonts w:ascii="Times New Roman" w:hAnsi="Times New Roman" w:cs="Times New Roman"/>
          <w:bCs/>
          <w:sz w:val="28"/>
          <w:szCs w:val="28"/>
        </w:rPr>
        <w:t>к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в.м.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аварийных домах пониженной капитальности, имеющих не все виды благоустройства, по причине отсутствия заявок на участие в процедурах определения поставщиков, проводимых с целью приобретения жилых помещений на первичном и вторичном рынках жилья в городе Мурманске.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С другой стороны, отсутствие заявок на участие в процедурах определения поставщиков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 исходя из требуемой площади закупаемого жилого помещения. 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 при осуществлении закупок в целях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реализации подпрограммы.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ств гр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>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BD55A2">
        <w:rPr>
          <w:rFonts w:ascii="Times New Roman" w:hAnsi="Times New Roman" w:cs="Times New Roman"/>
          <w:bCs/>
          <w:sz w:val="28"/>
          <w:szCs w:val="28"/>
        </w:rPr>
        <w:tab/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мероприятий подпрограммы осуществляется в соответствии с Порядком разработки, реализации и оценки эффективности </w:t>
      </w:r>
      <w:r w:rsidR="00082041" w:rsidRPr="00BD55A2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города Мурманска, утвержденным постановлением администрации города Мурманска от 21.08.2013 № 2143.</w:t>
      </w:r>
    </w:p>
    <w:p w:rsidR="008C6E17" w:rsidRPr="00BD55A2" w:rsidRDefault="008C6E17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  <w:sectPr w:rsidR="00585AFD" w:rsidRPr="00BD55A2" w:rsidSect="00AB6163">
          <w:headerReference w:type="default" r:id="rId8"/>
          <w:headerReference w:type="first" r:id="rId9"/>
          <w:pgSz w:w="11906" w:h="16838"/>
          <w:pgMar w:top="1134" w:right="851" w:bottom="993" w:left="1418" w:header="709" w:footer="709" w:gutter="0"/>
          <w:cols w:space="708"/>
          <w:docGrid w:linePitch="381"/>
        </w:sectPr>
      </w:pPr>
    </w:p>
    <w:p w:rsidR="00453D95" w:rsidRPr="00BD55A2" w:rsidRDefault="00453D95" w:rsidP="00BD5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подпрограмме</w:t>
      </w:r>
    </w:p>
    <w:p w:rsidR="00453D95" w:rsidRPr="00BD55A2" w:rsidRDefault="00453D9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95" w:rsidRPr="00BD55A2" w:rsidRDefault="00453D9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подпрограммы</w:t>
      </w:r>
    </w:p>
    <w:p w:rsidR="00453D95" w:rsidRPr="00BD55A2" w:rsidRDefault="00453D9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основных мероприятий подпрограммы на 2014-2015 годы</w:t>
      </w:r>
    </w:p>
    <w:p w:rsidR="002918C9" w:rsidRPr="00BD55A2" w:rsidRDefault="002918C9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83"/>
        <w:gridCol w:w="3507"/>
        <w:gridCol w:w="1065"/>
        <w:gridCol w:w="1496"/>
        <w:gridCol w:w="899"/>
        <w:gridCol w:w="746"/>
        <w:gridCol w:w="899"/>
        <w:gridCol w:w="1159"/>
        <w:gridCol w:w="1343"/>
        <w:gridCol w:w="878"/>
        <w:gridCol w:w="834"/>
        <w:gridCol w:w="2305"/>
      </w:tblGrid>
      <w:tr w:rsidR="00144D34" w:rsidRPr="00BD55A2" w:rsidTr="002D709A">
        <w:trPr>
          <w:trHeight w:val="52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43C3E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рок </w:t>
            </w:r>
            <w:proofErr w:type="spellStart"/>
            <w:proofErr w:type="gramStart"/>
            <w:r w:rsidR="00043C3E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="00AB6163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043C3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</w:t>
            </w:r>
            <w:r w:rsidR="00AB6163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  <w:r w:rsidR="00144D34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44D34" w:rsidRPr="00BD55A2" w:rsidTr="002D709A">
        <w:trPr>
          <w:trHeight w:val="587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ед. измерения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показателя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D34" w:rsidRPr="00BD55A2" w:rsidTr="002D709A">
        <w:trPr>
          <w:trHeight w:val="6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44D34" w:rsidRPr="00BD55A2" w:rsidTr="002D709A">
        <w:trPr>
          <w:trHeight w:val="2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144D34" w:rsidRPr="00BD55A2" w:rsidTr="002D709A">
        <w:trPr>
          <w:trHeight w:val="417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144D34" w:rsidRPr="00BD55A2" w:rsidTr="002D709A">
        <w:trPr>
          <w:trHeight w:val="66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D34" w:rsidRPr="00BD55A2" w:rsidTr="002D709A">
        <w:trPr>
          <w:trHeight w:val="66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45 046,7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45 046,7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приобретенных жилых помещений,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144D34" w:rsidRPr="00BD55A2" w:rsidTr="002D709A">
        <w:trPr>
          <w:trHeight w:val="441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D34" w:rsidRPr="00BD55A2" w:rsidTr="002D709A">
        <w:trPr>
          <w:trHeight w:val="237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технические условия на вынос сетей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4 202,4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2 458,6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КГТР (ММКУ </w:t>
            </w:r>
            <w:r w:rsidR="001E21A5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капитального строительства</w:t>
            </w:r>
            <w:r w:rsidR="001E21A5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44D34" w:rsidRPr="00BD55A2" w:rsidTr="002D709A">
        <w:trPr>
          <w:trHeight w:val="3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D34" w:rsidRPr="00BD55A2" w:rsidTr="002D709A">
        <w:trPr>
          <w:trHeight w:val="250"/>
        </w:trPr>
        <w:tc>
          <w:tcPr>
            <w:tcW w:w="1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 в 2014-2015 годах: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53 057,7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49 699,1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3 358,6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4D34" w:rsidRPr="00BD55A2" w:rsidTr="00F04663">
        <w:trPr>
          <w:trHeight w:val="225"/>
        </w:trPr>
        <w:tc>
          <w:tcPr>
            <w:tcW w:w="1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4D34" w:rsidRPr="00BD55A2" w:rsidTr="00F04663">
        <w:trPr>
          <w:trHeight w:val="129"/>
        </w:trPr>
        <w:tc>
          <w:tcPr>
            <w:tcW w:w="1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5947F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77 799,5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ind w:left="-250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74 440,9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4" w:rsidRPr="00BD55A2" w:rsidRDefault="00144D3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755EB" w:rsidRPr="00BD55A2" w:rsidRDefault="00D755EB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9A" w:rsidRPr="00BD55A2" w:rsidRDefault="002D709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7" w:rsidRPr="00BD55A2" w:rsidRDefault="00252367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7" w:rsidRPr="00BD55A2" w:rsidRDefault="00252367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основных мероприятий подпрограммы и объемы финансирования на 2016-2019 годы</w:t>
      </w:r>
    </w:p>
    <w:p w:rsidR="00667671" w:rsidRPr="00BD55A2" w:rsidRDefault="00667671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4" w:type="pct"/>
        <w:tblLayout w:type="fixed"/>
        <w:tblLook w:val="04A0"/>
      </w:tblPr>
      <w:tblGrid>
        <w:gridCol w:w="491"/>
        <w:gridCol w:w="2947"/>
        <w:gridCol w:w="770"/>
        <w:gridCol w:w="938"/>
        <w:gridCol w:w="1058"/>
        <w:gridCol w:w="967"/>
        <w:gridCol w:w="875"/>
        <w:gridCol w:w="852"/>
        <w:gridCol w:w="1135"/>
        <w:gridCol w:w="1274"/>
        <w:gridCol w:w="6"/>
        <w:gridCol w:w="700"/>
        <w:gridCol w:w="713"/>
        <w:gridCol w:w="710"/>
        <w:gridCol w:w="723"/>
        <w:gridCol w:w="1686"/>
      </w:tblGrid>
      <w:tr w:rsidR="00C5182F" w:rsidRPr="00BD55A2" w:rsidTr="00C5182F">
        <w:trPr>
          <w:cantSplit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Источ-никифинанси-рования</w:t>
            </w:r>
            <w:proofErr w:type="spellEnd"/>
          </w:p>
        </w:tc>
        <w:tc>
          <w:tcPr>
            <w:tcW w:w="1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5182F" w:rsidRPr="00BD55A2" w:rsidTr="00C5182F">
        <w:trPr>
          <w:cantSplit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2F" w:rsidRPr="00BD55A2" w:rsidTr="00C5182F">
        <w:trPr>
          <w:cantSplit/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05AD4" w:rsidRPr="00BD55A2" w:rsidTr="00C5182F"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834 941,60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184 883,10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190 058,50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переселенных граждан, чел.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КГТР (ММКУ "Управление капитального строительства")</w:t>
            </w: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7 149 191,00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7 119 191,00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821 539,10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177 489,10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228 050,00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приобретенных жилых помещений,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3 381,8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5 233,3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126 081,9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6 702 191,00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6 702 191,00</w:t>
            </w: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предпроектные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КГТР (ММКУ "Управление капитального строительства"), инвестор</w:t>
            </w:r>
          </w:p>
        </w:tc>
      </w:tr>
      <w:tr w:rsidR="00C5182F" w:rsidRPr="00BD55A2" w:rsidTr="00C5182F">
        <w:trPr>
          <w:cantSplit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2F" w:rsidRPr="00BD55A2" w:rsidTr="00C5182F">
        <w:trPr>
          <w:cantSplit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ограничению доступа в расселенные аварийные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многовквартирные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аварийных домов, в которые ограничен доступ,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 (ММКУ "Управление капитального строительства")</w:t>
            </w:r>
          </w:p>
        </w:tc>
      </w:tr>
      <w:tr w:rsidR="00C5182F" w:rsidRPr="00BD55A2" w:rsidTr="00C5182F">
        <w:trPr>
          <w:cantSplit/>
        </w:trPr>
        <w:tc>
          <w:tcPr>
            <w:tcW w:w="1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834 941,60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184 883,10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190 058,50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2F" w:rsidRPr="00BD55A2" w:rsidTr="00C5182F">
        <w:trPr>
          <w:cantSplit/>
        </w:trPr>
        <w:tc>
          <w:tcPr>
            <w:tcW w:w="1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7 149 191,00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7 119 191,00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2F" w:rsidRPr="00BD55A2" w:rsidTr="00C5182F">
        <w:trPr>
          <w:cantSplit/>
        </w:trPr>
        <w:tc>
          <w:tcPr>
            <w:tcW w:w="1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7 984 132,60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186 383,10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202 058,50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83" w:right="-2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7 349 191,00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D4" w:rsidRPr="00BD55A2" w:rsidRDefault="00F05AD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44D34" w:rsidRPr="00BD55A2" w:rsidRDefault="00144D3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4D34" w:rsidRPr="00BD55A2" w:rsidRDefault="00144D3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389" w:rsidRPr="00BD55A2" w:rsidRDefault="007F0389" w:rsidP="00BD55A2">
      <w:pPr>
        <w:shd w:val="clear" w:color="auto" w:fill="FFFFFF" w:themeFill="background1"/>
        <w:spacing w:after="0" w:line="240" w:lineRule="auto"/>
        <w:ind w:left="-284" w:right="-25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0189" w:rsidRPr="00BD55A2" w:rsidRDefault="00880189" w:rsidP="00BD55A2">
      <w:pPr>
        <w:shd w:val="clear" w:color="auto" w:fill="FFFFFF" w:themeFill="background1"/>
        <w:spacing w:after="0" w:line="240" w:lineRule="auto"/>
        <w:ind w:left="-114" w:right="-1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02E" w:rsidRPr="00BD55A2" w:rsidRDefault="0045502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82F" w:rsidRPr="00BD55A2" w:rsidRDefault="00C5182F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3237" w:rsidRPr="00BD55A2" w:rsidRDefault="00313237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55A2">
        <w:rPr>
          <w:rFonts w:ascii="Times New Roman" w:eastAsia="Times New Roman" w:hAnsi="Times New Roman" w:cs="Times New Roman"/>
          <w:lang w:eastAsia="ru-RU"/>
        </w:rPr>
        <w:t>Приложение № 2 к подпрограмме</w:t>
      </w:r>
    </w:p>
    <w:p w:rsidR="00FF031E" w:rsidRPr="00BD55A2" w:rsidRDefault="00FF031E" w:rsidP="00BD55A2">
      <w:pPr>
        <w:shd w:val="clear" w:color="auto" w:fill="FFFFFF" w:themeFill="background1"/>
        <w:tabs>
          <w:tab w:val="left" w:pos="457"/>
          <w:tab w:val="left" w:pos="2300"/>
          <w:tab w:val="left" w:pos="2892"/>
          <w:tab w:val="left" w:pos="3922"/>
          <w:tab w:val="left" w:pos="4720"/>
          <w:tab w:val="left" w:pos="5518"/>
          <w:tab w:val="left" w:pos="6038"/>
          <w:tab w:val="left" w:pos="6657"/>
          <w:tab w:val="left" w:pos="7276"/>
          <w:tab w:val="left" w:pos="7931"/>
          <w:tab w:val="left" w:pos="8440"/>
          <w:tab w:val="left" w:pos="8949"/>
          <w:tab w:val="left" w:pos="9933"/>
          <w:tab w:val="left" w:pos="10896"/>
          <w:tab w:val="left" w:pos="11738"/>
          <w:tab w:val="left" w:pos="12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237" w:rsidRPr="00BD55A2" w:rsidRDefault="00B23333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01.01.2017</w:t>
      </w:r>
    </w:p>
    <w:p w:rsidR="00B23333" w:rsidRPr="00BD55A2" w:rsidRDefault="00B23333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73"/>
        <w:gridCol w:w="3182"/>
        <w:gridCol w:w="568"/>
        <w:gridCol w:w="849"/>
        <w:gridCol w:w="709"/>
        <w:gridCol w:w="709"/>
        <w:gridCol w:w="568"/>
        <w:gridCol w:w="565"/>
        <w:gridCol w:w="568"/>
        <w:gridCol w:w="565"/>
        <w:gridCol w:w="709"/>
        <w:gridCol w:w="696"/>
        <w:gridCol w:w="721"/>
        <w:gridCol w:w="91"/>
        <w:gridCol w:w="618"/>
        <w:gridCol w:w="194"/>
        <w:gridCol w:w="656"/>
        <w:gridCol w:w="993"/>
        <w:gridCol w:w="709"/>
        <w:gridCol w:w="706"/>
        <w:gridCol w:w="765"/>
      </w:tblGrid>
      <w:tr w:rsidR="00080706" w:rsidRPr="00BD55A2" w:rsidTr="00080706">
        <w:trPr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аварийным</w:t>
            </w:r>
            <w:proofErr w:type="gramEnd"/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срок сноса МКД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жителей всего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площадь жилых помещений МКД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переселения граждан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080706" w:rsidRPr="00BD55A2" w:rsidTr="00080706">
        <w:trPr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(из расчета стоимости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для предоставляемой общей площади жилых помещений)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внебюджетных средств</w:t>
            </w: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706" w:rsidRPr="00BD55A2" w:rsidTr="00080706">
        <w:trPr>
          <w:trHeight w:val="161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частная собственность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частная собственность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706" w:rsidRPr="00BD55A2" w:rsidTr="00080706">
        <w:trPr>
          <w:trHeight w:val="161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706" w:rsidRPr="00BD55A2" w:rsidTr="00D633CF">
        <w:trPr>
          <w:trHeight w:val="705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706" w:rsidRPr="00BD55A2" w:rsidTr="00080706">
        <w:trPr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</w:tr>
      <w:tr w:rsidR="00080706" w:rsidRPr="00BD55A2" w:rsidTr="00080706">
        <w:trPr>
          <w:tblHeader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080706" w:rsidRPr="00BD55A2" w:rsidTr="00080706"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Калинина, дом 39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24.10.2012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174,5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7 590,8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7 590,80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6/24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12.11.2012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03,2015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872,6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Декабристов, дом 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03,2015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4 645,8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4 645,80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Декабристов,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22.08.2013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6 538,1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3 031,90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3 506,2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дом 23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22.08.2013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03,2015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3 192,90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210,4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9 152,4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проспект Кирова, дом 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5 185,2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5 185,20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Челюскинцев,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12 247,7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12 247,70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43,5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в 2014 году: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1 156,1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759,3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50 288,5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45 046,7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5 241,8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3 608,0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 Ручья, дом 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4 620,0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 Ручья,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04,2016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2 777,5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проспект Кирова, дом 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470,5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25 877,5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25.04.2012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449,5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24 722,5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24 722,5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25.04.2012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19 074,0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19 074,0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27.04.2012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582,8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272,8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32 054,0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32 054,0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Лесная, дом 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11.05.2012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509,9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256,70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14 118,5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14 118,5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Марата,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27.04.2012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20 064,0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20 064,0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331,80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18 249,0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224,1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12 324,1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12 324,1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в 2016 году: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3 227,1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1 591,1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1 303,0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177 489,1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177 489,1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314,7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17 308,5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17 308,5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628,80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331,50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34 584,0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34 584,0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477,6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287,7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26 268,0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26 268,0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26А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330,60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18 183,0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18 183,0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392,0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21 560,0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Песочная,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387,50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21 312,5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21 312,5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25 663,0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25 663,0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384,0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21 121,0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21 121,0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в 2017 году: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3 381,8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1 570,3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1 811,5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186 000,0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186 000,0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28.06.2012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21.09.2012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299,40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21.09.2012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335,70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18 463,5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18 463,5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23.10.2012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21.09.2012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495,90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27 274,5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27 274,5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25.01.2013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493,7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371,4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142,6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20 427,0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20 427,0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12.11.2012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505,1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27 780,5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27 780,5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Академика Павлова, дом 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30.12.2011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784,1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маневренный фонд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27.08.2013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23 457,5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23 457,5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26.07.2013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18 562,5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18 562,5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24.06.2013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23 133,0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23 133,0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09.09.2013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22 553,5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22 553,5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в 2018 году: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4 146,4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2 323,2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228 050,0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228 050,0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09.09.2013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1 003,0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1 003,0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22.11.2013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25 646,5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25 646,5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47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27.11.2013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421,5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23 182,5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23 182,5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Горького, дом 2/12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851,5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45 292,5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45 292,5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Халтурина,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28.02.2014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531,2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492,0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27 060,0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28.02.2014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578,8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578,8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31 834,0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31 834,0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28.02.2014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17 220,5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37/7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28.02.2014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356,4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19 602,0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19 602,0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проспект Кирова, дом 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13.03.2014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586,9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558,6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30 723,0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30 723,0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Набережная,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13.03.2014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693,8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33 863,5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8 436,0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25 427,5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13.03.2014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391,2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21 516,0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21 516,0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13.03.2014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556,2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30 591,0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30 591,0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19.03.2014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18 964,0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18 964,0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Фурманова, дом 13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29.01.2013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снесен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391,5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21 532,5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21 532,5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581,0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31 955,0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31 955,0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63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588,1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32 345,5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32 345,5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18 892,5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18 892,5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439,8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24 189,0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24 189,0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32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412,2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22 671,0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22 671,0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Лесная, дом 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22 902,0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22 902,0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Лесная,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19 173,0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Марата, дом 13а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576,1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31 685,5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32/6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572,5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31 487,5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31 487,5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Охотничий, дом 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12 727,0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12 727,0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проезд Профессора Жуковского, дом 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25 503,5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25 503,5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29а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15.07.2014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18 408,5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18 408,5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54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33 467,5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33 467,5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20 691,0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20 691,0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Гарнизонная, дом 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9 757,0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9 757,0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Полярной Правды, дом 2А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29 441,5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29 441,5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Генерала Фролова, дом 8/80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1 269,7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41 888,0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41 888,0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31.10.2014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11.11.2014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27 648,5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27 648,5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11.11.2014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47 454,0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47 454,0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Фролова, дом 11Б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01.12.2014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Первомайская, дом 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01.12.2014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23 853,5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23 853,5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Радищева, дом 42/10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27.01.2015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18 287,5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18 287,5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Капитана Буркова,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27.01.2015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20 641,5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20 641,5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27.01.2015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31 938,5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31 938,5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Первомайская,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16.02.2015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31 603,0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31 603,0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Шевченко,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16.02.2015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18 012,5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Халтурина, дом 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16.02.2015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23 815,0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23 815,0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Карла Либкнехта,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15 092,0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15 092,0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20 460,0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22 313,5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22 313,5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Заречная, дом 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9 366,5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Декабристов, дом 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44 572,0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44 572,0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Фрунзе, дом 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27.03.2015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31 927,5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Фрунзе, дом 23/5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10.04.2015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30 409,5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30 409,5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Сполохи, дом 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30.04.2015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582,5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32 037,5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32 037,5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Генерала Фролова,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30.04.2015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27 637,5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27 637,5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Зеленая, дом 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30.04.2015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27 643,0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27 643,0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64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12.05.2015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31 339,0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12.05.2015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32 538,0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32 538,0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проезд Рылеева,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12.05.2015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17 061,0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17 061,0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16Б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28.05.2015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26 026,0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26 026,0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Фестивальная,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23.06.2015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25 602,5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23.06.2015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19 371,0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19 371,0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54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26.06.2015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19 409,5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19 409,5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62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31 163,0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31 163,0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22 066,0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22 066,0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Куйбышева,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21 549,0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21 549,0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Ушакова, дом 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15.07.2015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49 852,0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49 852,0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593,1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31 372,0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31 372,0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Нахимова, дом 10/1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39 033,5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39 033,5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Первомайская, дом 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Декабристов, дом 2/24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проезд Рылеева,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19 415,0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19 415,0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Марата,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27.08.2015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32 296,0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32 296,0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Фрунзе,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проезд Профессора Жуковского, дом 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35 887,5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35 887,5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Академика Павлова, дом 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21 895,5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21 895,5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Фрунзе, дом 5/5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45 061,5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23 606,0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23 606,0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Марата,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31 658,0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проезд Профессора Жуковского, дом 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21.09.2015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26 603,5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26 603,5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проезд Профессора Жуковского, дом 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21.10.2015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27.11.2015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17 583,5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17 583,5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08.12.2015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22 918,5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22 918,5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24.12.2015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33 269,5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33 269,5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Куйбышева, дом 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19 492,0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19 492,0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29 892,5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29 892,5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Первомайская, дом 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23 413,5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23 413,5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Марата,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48 625,5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48 625,5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Сполохи, дом 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31 306,0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17 099,5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17 099,5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Куйбышева,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29 045,5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29 045,5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 улица Карла Либкнехта,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507,5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 Фрунзе, дом 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23 061,5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23 061,5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Загородная, дом  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27 560,5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27 560,5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Адмирала флота Лобова,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20 746,0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20 746,0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43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29.04.2016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23 127,5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23 127,5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02.06.2016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31 427,0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31 427,0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Мурманская, дом 56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02.06.2016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27 549,5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27 549,5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23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20 449,0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20 449,0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Генерала Фролова, дом 24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26 213,0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26 213,0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25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22 533,5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22 533,5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Академика Павлова, дом 36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22 808,5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22 808,5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18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27 742,0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27 742,0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Зеленая, дом 44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31 966,0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31 966,0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Дальний, дом 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28 605,5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28 605,5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41 041,0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41 041,0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Заречная, дом 26А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11.08.2016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26 268,0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Бондарная,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12.08.2016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27 511,0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12.08.2016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19 426,0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19 426,0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7/26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12.08.2016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30 976,0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30 976,0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Первомайская,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06.09.2016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19 162,0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19 162,0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Чехова,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06.09.2016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14 872,0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14 872,0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57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06.10.2016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19 629,5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19 629,5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06.10.2016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21 252,0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65/4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27.10.2016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23 853,5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23 853,5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3/10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41 811,0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41 811,0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переулок Дальний, дом 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22 539,0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Пригородная, дом 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22 099,0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22 099,0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проспект Кольский, дом 163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23.11.2016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28 358,0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28 358,0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Шестой Комсомольской Батареи,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Калинина, дом 59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9 685,5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30А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26 422,0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26 422,0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Набережная,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23 094,5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23 094,5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18 018,0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18 018,0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Фрунзе, дом 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27 984,0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27 984,0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дом 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14 261,5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 Мурманск, улица Радищева, дом 59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26.12.2016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09,2019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19 541,5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19 541,5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в 2019 году: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3 937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59 585,3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35 465,1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60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23 843,3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3 274 878,0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230 000,0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3 044 878,0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80706" w:rsidRPr="00BD55A2" w:rsidTr="00080706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4 695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71 496,7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41 709,0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60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29 177,8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3 916 705,6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866 585,8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3 050 119,8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6" w:rsidRPr="00BD55A2" w:rsidRDefault="0008070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103698" w:rsidRPr="00BD55A2" w:rsidRDefault="00103698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706" w:rsidRPr="00BD55A2" w:rsidRDefault="00080706" w:rsidP="00BD55A2">
      <w:pPr>
        <w:shd w:val="clear" w:color="auto" w:fill="FFFFFF" w:themeFill="background1"/>
        <w:tabs>
          <w:tab w:val="left" w:pos="486"/>
          <w:tab w:val="left" w:pos="4417"/>
          <w:tab w:val="left" w:pos="5045"/>
          <w:tab w:val="left" w:pos="5584"/>
          <w:tab w:val="left" w:pos="6573"/>
          <w:tab w:val="left" w:pos="7194"/>
          <w:tab w:val="left" w:pos="7817"/>
          <w:tab w:val="left" w:pos="8533"/>
          <w:tab w:val="left" w:pos="9501"/>
          <w:tab w:val="left" w:pos="10443"/>
          <w:tab w:val="left" w:pos="11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04" w:rsidRPr="00BD55A2" w:rsidRDefault="00552404" w:rsidP="00BD55A2">
      <w:pPr>
        <w:shd w:val="clear" w:color="auto" w:fill="FFFFFF" w:themeFill="background1"/>
        <w:tabs>
          <w:tab w:val="left" w:pos="486"/>
          <w:tab w:val="left" w:pos="4417"/>
          <w:tab w:val="left" w:pos="5045"/>
          <w:tab w:val="left" w:pos="5584"/>
          <w:tab w:val="left" w:pos="6573"/>
          <w:tab w:val="left" w:pos="7194"/>
          <w:tab w:val="left" w:pos="7817"/>
          <w:tab w:val="left" w:pos="8533"/>
          <w:tab w:val="left" w:pos="9501"/>
          <w:tab w:val="left" w:pos="10443"/>
          <w:tab w:val="left" w:pos="116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подпрограмме</w:t>
      </w:r>
    </w:p>
    <w:p w:rsidR="00552404" w:rsidRPr="00BD55A2" w:rsidRDefault="00552404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1E" w:rsidRPr="00BD55A2" w:rsidRDefault="00D633CF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01.01.2017</w:t>
      </w:r>
    </w:p>
    <w:p w:rsidR="00552404" w:rsidRPr="00BD55A2" w:rsidRDefault="00552404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838"/>
        <w:gridCol w:w="3947"/>
        <w:gridCol w:w="640"/>
        <w:gridCol w:w="840"/>
        <w:gridCol w:w="846"/>
        <w:gridCol w:w="831"/>
        <w:gridCol w:w="840"/>
        <w:gridCol w:w="840"/>
        <w:gridCol w:w="846"/>
        <w:gridCol w:w="846"/>
        <w:gridCol w:w="1465"/>
        <w:gridCol w:w="946"/>
        <w:gridCol w:w="1071"/>
        <w:gridCol w:w="818"/>
      </w:tblGrid>
      <w:tr w:rsidR="0073098D" w:rsidRPr="00BD55A2" w:rsidTr="0073098D">
        <w:trPr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10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дома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(программная)</w:t>
            </w:r>
          </w:p>
        </w:tc>
      </w:tr>
      <w:tr w:rsidR="0073098D" w:rsidRPr="00BD55A2" w:rsidTr="0073098D">
        <w:trPr>
          <w:trHeight w:val="207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(из расчета стоимости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(программной) для предоставляемой общей площади жилых помещений)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местного бюджета (из расчета стоимости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(программной)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098D" w:rsidRPr="00BD55A2" w:rsidTr="0073098D">
        <w:trPr>
          <w:trHeight w:val="207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098D" w:rsidRPr="00BD55A2" w:rsidTr="0073098D">
        <w:trPr>
          <w:trHeight w:val="207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098D" w:rsidRPr="00BD55A2" w:rsidTr="0073098D">
        <w:trPr>
          <w:trHeight w:val="1498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износа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МКД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098D" w:rsidRPr="00BD55A2" w:rsidTr="0073098D">
        <w:trPr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ind w:left="-5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руб./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73098D" w:rsidRPr="00BD55A2" w:rsidTr="0073098D">
        <w:trPr>
          <w:tblHeader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25 905,0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23 611,5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32 950,5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Горького, дом 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27 494,5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27 494,5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26 950,0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18 540,5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18 540,5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переулок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29 166,5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29 166,5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24/9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29 942,0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29 942,0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29 744,0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29 744,0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переулок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29 942,0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29 942,0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37 394,5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Нахимова, дом 8/2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Зеленая, дом 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32 598,5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32 598,5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31 157,5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14А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31 559,0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16 115,0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16 115,0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Ушакова, дом 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23 892,0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23 892,0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26 873,0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27 043,5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27 043,5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19 684,5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19 684,5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27 725,5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27 725,5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Калинина, дом 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18 678,0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18 678,0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19 481,0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19 481,0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19 728,5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19 316,0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19 437,0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19 437,0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24 068,0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19 365,5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24 062,5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24 062,5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Куйбышева, дом 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19 382,0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19 382,0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52/1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19 530,5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24 178,0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24 178,0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19 134,5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19 134,5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24 123,0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24 123,0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18 617,5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18 617,5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18 425,0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24 255,0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34 199,0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34 199,0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26 977,5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 Калинина, дом 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18 551,5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27 131,5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27 131,5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19 547,0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12/37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48 202,0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48 202,0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19 222,5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19 222,5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35 227,5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35 227,5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51 925,5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51 925,5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74/5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18 837,5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23 683,0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23 677,5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32 549,0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18 573,5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18 573,5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22 946,0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22 946,0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27 885,0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27 885,0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32 609,5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51 216,0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23 551,0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31 971,5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31 971,5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36 371,5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36 371,5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23 215,5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23 303,5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34 749,0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34 749,0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Калинина, дом 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15 163,5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3098D" w:rsidRPr="00BD55A2" w:rsidTr="0073098D"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66 496,6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66 496,6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66 496,6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3 657 313,0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3 657 313,0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8D" w:rsidRPr="00BD55A2" w:rsidRDefault="0073098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FF031E" w:rsidRPr="00BD55A2" w:rsidRDefault="00FF031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04" w:rsidRPr="00BD55A2" w:rsidRDefault="0055240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5" w:rsidRPr="00BD55A2" w:rsidRDefault="00965905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70D8" w:rsidRPr="00BD55A2" w:rsidRDefault="00EE70D8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189" w:rsidRPr="00BD55A2" w:rsidRDefault="00880189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189" w:rsidRPr="00BD55A2" w:rsidRDefault="00880189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189" w:rsidRPr="00BD55A2" w:rsidRDefault="00880189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189" w:rsidRPr="00BD55A2" w:rsidRDefault="00880189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098D" w:rsidRPr="00BD55A2" w:rsidRDefault="0073098D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2D36" w:rsidRPr="00BD55A2" w:rsidRDefault="00682D36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825" w:rsidRPr="00BD55A2" w:rsidRDefault="00067825" w:rsidP="00BD55A2">
      <w:pPr>
        <w:shd w:val="clear" w:color="auto" w:fill="FFFFFF" w:themeFill="background1"/>
        <w:tabs>
          <w:tab w:val="left" w:pos="513"/>
          <w:tab w:val="left" w:pos="4540"/>
          <w:tab w:val="left" w:pos="5486"/>
          <w:tab w:val="left" w:pos="6692"/>
          <w:tab w:val="left" w:pos="7898"/>
          <w:tab w:val="left" w:pos="9104"/>
          <w:tab w:val="left" w:pos="9929"/>
          <w:tab w:val="left" w:pos="10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подпрограмме </w:t>
      </w:r>
    </w:p>
    <w:p w:rsidR="005719D6" w:rsidRPr="00BD55A2" w:rsidRDefault="005719D6" w:rsidP="00BD55A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0D8" w:rsidRPr="00BD55A2" w:rsidRDefault="00EE70D8" w:rsidP="00BD55A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аварийных многоквартирных домов, подлежащих сносу в 201</w:t>
      </w:r>
      <w:r w:rsidR="0073098D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и аварийных многоквартирных домов, снос которых произведен ранее или не требуется  </w:t>
      </w:r>
    </w:p>
    <w:p w:rsidR="00067825" w:rsidRPr="00BD55A2" w:rsidRDefault="00067825" w:rsidP="00BD55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/>
      </w:tblPr>
      <w:tblGrid>
        <w:gridCol w:w="459"/>
        <w:gridCol w:w="4516"/>
        <w:gridCol w:w="816"/>
        <w:gridCol w:w="1113"/>
        <w:gridCol w:w="1269"/>
        <w:gridCol w:w="1032"/>
        <w:gridCol w:w="1041"/>
        <w:gridCol w:w="1669"/>
        <w:gridCol w:w="3699"/>
      </w:tblGrid>
      <w:tr w:rsidR="007A6726" w:rsidRPr="00BD55A2" w:rsidTr="007A6726">
        <w:trPr>
          <w:trHeight w:val="207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аварийным</w:t>
            </w:r>
            <w:proofErr w:type="gramEnd"/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 окончания переселения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сноса МКД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МКД,                     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A6726" w:rsidRPr="00BD55A2" w:rsidTr="007A6726">
        <w:trPr>
          <w:trHeight w:val="20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726" w:rsidRPr="00BD55A2" w:rsidTr="007A6726">
        <w:trPr>
          <w:trHeight w:val="20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726" w:rsidRPr="00BD55A2" w:rsidTr="007A6726">
        <w:trPr>
          <w:trHeight w:val="20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726" w:rsidRPr="00BD55A2" w:rsidTr="007A6726">
        <w:trPr>
          <w:trHeight w:val="20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726" w:rsidRPr="00BD55A2" w:rsidTr="007A6726">
        <w:trPr>
          <w:tblHeader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432,20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377,30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402,80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Героев-североморцев, дом 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416,40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412,70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Шестой Комсомольской Батареи, дом 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175,80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2014 году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Генерала Журбы, дом 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584,20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1 051,8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2014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Фадеев Ручей, дом 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2014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Бондарная, дом 26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501,70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2014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6/24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872,60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 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2015 году            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Фрунзе, дом 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2015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Декабристов, дом 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1 587,9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2015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567,80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2014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Горького, дом 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440,50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полностью разрушен, снос не требуется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проспект Ленина, дом 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570,50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2013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Фурманова, дом 13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2013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Челюскинцев, дом 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произведен ММКУ "Управление капитального строительства" в 2012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Заводская, дом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нежилое здание и передан на праве хозяйственного ведения МУП "Здоровье". Снос произведен в 2014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Декабристов, дом 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 произведен АО "Агентство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Мурманнедвижимость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2016 году  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7 559,0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Калинина, дом 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Ручья, дом 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Ручья, дом 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Зеленая, дом 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677,0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Академика Павлова, дом 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маневренный фонд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 Фрунзе, дом 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2016 году по решению КЧС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жилрайонРосляково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Школьная, дом 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жилрайонРосляково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Школьная, дом 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 улица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Мурманск, улица Марата, дом 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2017 году</w:t>
            </w:r>
          </w:p>
        </w:tc>
      </w:tr>
      <w:tr w:rsidR="007A6726" w:rsidRPr="00BD55A2" w:rsidTr="007A6726">
        <w:tc>
          <w:tcPr>
            <w:tcW w:w="2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 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19 421,30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14 147,5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26" w:rsidRPr="00BD55A2" w:rsidRDefault="007A6726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259E0" w:rsidRPr="00BD55A2" w:rsidRDefault="00B259E0" w:rsidP="00BD55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  <w:sectPr w:rsidR="00B259E0" w:rsidRPr="00BD55A2" w:rsidSect="002523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070B7" w:rsidRPr="00BD55A2" w:rsidRDefault="00D070B7" w:rsidP="00DD1B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0B7" w:rsidRPr="00BD55A2" w:rsidSect="00DD1BD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D1" w:rsidRDefault="00EA2AD1" w:rsidP="00585AFD">
      <w:pPr>
        <w:spacing w:after="0" w:line="240" w:lineRule="auto"/>
      </w:pPr>
      <w:r>
        <w:separator/>
      </w:r>
    </w:p>
  </w:endnote>
  <w:endnote w:type="continuationSeparator" w:id="1">
    <w:p w:rsidR="00EA2AD1" w:rsidRDefault="00EA2AD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D1" w:rsidRDefault="00EA2AD1" w:rsidP="00585AFD">
      <w:pPr>
        <w:spacing w:after="0" w:line="240" w:lineRule="auto"/>
      </w:pPr>
      <w:r>
        <w:separator/>
      </w:r>
    </w:p>
  </w:footnote>
  <w:footnote w:type="continuationSeparator" w:id="1">
    <w:p w:rsidR="00EA2AD1" w:rsidRDefault="00EA2AD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00360144"/>
      <w:showingPlcHdr/>
    </w:sdtPr>
    <w:sdtContent>
      <w:p w:rsidR="00EA2AD1" w:rsidRPr="00235139" w:rsidRDefault="0003310D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EA2AD1" w:rsidRPr="00235139" w:rsidRDefault="00EA2AD1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1" w:rsidRPr="00613CCB" w:rsidRDefault="00EA2AD1">
    <w:pPr>
      <w:pStyle w:val="a4"/>
      <w:jc w:val="center"/>
      <w:rPr>
        <w:color w:val="000000" w:themeColor="text1"/>
      </w:rPr>
    </w:pPr>
  </w:p>
  <w:p w:rsidR="00EA2AD1" w:rsidRDefault="00EA2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310D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0E35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961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3715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1BDD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2AD1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17893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2C384-CCC6-4A8C-9F57-8C848C8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11111</Words>
  <Characters>63337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2017-03-24T09:31:00Z</dcterms:created>
  <dcterms:modified xsi:type="dcterms:W3CDTF">2017-03-24T09:40:00Z</dcterms:modified>
</cp:coreProperties>
</file>