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. Подпрограмма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Переселение граждан из многоквартирных домов, признанных аварийными до 01.01.2012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на 2014-2017 годы</w:t>
      </w:r>
    </w:p>
    <w:p w:rsidR="006037B0" w:rsidRPr="00BD55A2" w:rsidRDefault="006037B0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6037B0" w:rsidRPr="00BD55A2" w:rsidRDefault="006037B0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2"/>
      </w:tblGrid>
      <w:tr w:rsidR="00B259E0" w:rsidRPr="00BD55A2" w:rsidTr="00674330">
        <w:trPr>
          <w:trHeight w:val="1607"/>
        </w:trPr>
        <w:tc>
          <w:tcPr>
            <w:tcW w:w="2127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2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имуществом и жилищная политика</w:t>
            </w:r>
            <w:r w:rsidR="001E21A5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2014-201</w:t>
            </w:r>
            <w:r w:rsidR="009B2B41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59E0" w:rsidRPr="00BD55A2" w:rsidTr="00674330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2127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512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B259E0" w:rsidRPr="00BD55A2" w:rsidTr="00674330">
        <w:tblPrEx>
          <w:tblCellMar>
            <w:left w:w="70" w:type="dxa"/>
            <w:right w:w="70" w:type="dxa"/>
          </w:tblCellMar>
        </w:tblPrEx>
        <w:trPr>
          <w:trHeight w:val="815"/>
        </w:trPr>
        <w:tc>
          <w:tcPr>
            <w:tcW w:w="2127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2" w:type="dxa"/>
          </w:tcPr>
          <w:p w:rsidR="00585AFD" w:rsidRPr="00BD55A2" w:rsidRDefault="00585AFD" w:rsidP="00BD55A2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переселенных из аварийных многоквартирных домов.</w:t>
            </w:r>
          </w:p>
          <w:p w:rsidR="00585AFD" w:rsidRPr="00BD55A2" w:rsidRDefault="00585AFD" w:rsidP="00BD55A2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Расселенная площадь жилых помещений, расположенных в аварийных многоквартирных домах,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</w:tr>
      <w:tr w:rsidR="00B259E0" w:rsidRPr="00BD55A2" w:rsidTr="00674330">
        <w:tblPrEx>
          <w:tblCellMar>
            <w:left w:w="70" w:type="dxa"/>
            <w:right w:w="70" w:type="dxa"/>
          </w:tblCellMar>
        </w:tblPrEx>
        <w:trPr>
          <w:trHeight w:val="612"/>
        </w:trPr>
        <w:tc>
          <w:tcPr>
            <w:tcW w:w="2127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2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 КИО;</w:t>
            </w:r>
          </w:p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 КГТР</w:t>
            </w:r>
          </w:p>
        </w:tc>
      </w:tr>
      <w:tr w:rsidR="00B259E0" w:rsidRPr="00BD55A2" w:rsidTr="00674330">
        <w:tblPrEx>
          <w:tblCellMar>
            <w:left w:w="70" w:type="dxa"/>
            <w:right w:w="70" w:type="dxa"/>
          </w:tblCellMar>
        </w:tblPrEx>
        <w:trPr>
          <w:trHeight w:val="1049"/>
        </w:trPr>
        <w:tc>
          <w:tcPr>
            <w:tcW w:w="2127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7512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КИО</w:t>
            </w:r>
          </w:p>
        </w:tc>
      </w:tr>
      <w:tr w:rsidR="00B259E0" w:rsidRPr="00BD55A2" w:rsidTr="00674330">
        <w:tblPrEx>
          <w:tblCellMar>
            <w:left w:w="70" w:type="dxa"/>
            <w:right w:w="70" w:type="dxa"/>
          </w:tblCellMar>
        </w:tblPrEx>
        <w:trPr>
          <w:trHeight w:val="925"/>
        </w:trPr>
        <w:tc>
          <w:tcPr>
            <w:tcW w:w="2127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12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</w:t>
            </w:r>
            <w:r w:rsidR="00613CCB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годы</w:t>
            </w:r>
          </w:p>
        </w:tc>
      </w:tr>
      <w:tr w:rsidR="0049403B" w:rsidRPr="00BD55A2" w:rsidTr="00674330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2127" w:type="dxa"/>
          </w:tcPr>
          <w:p w:rsidR="0049403B" w:rsidRPr="00BD55A2" w:rsidRDefault="0049403B" w:rsidP="00BD55A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2" w:type="dxa"/>
          </w:tcPr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подпрограмме: 818 481,5 тыс. руб., в том числе: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МБ: 410 585,2 тыс. руб., из них: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2014 год – 123 516,9 тыс. руб.;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2015 год – 241 631,0 тыс. руб.;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24 489,4 тыс. руб.;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20 947,9 тыс. руб.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ОБ: 160 276,5 тыс. руб., из них: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2014 год – 25 304,9 тыс. руб.;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2015 год – 89 034,9 тыс. руб.;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45 936,7 тыс. руб.;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ФБ: 247 619,8 тыс. руб., из них: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2014 год – 50 429,2 тыс. руб.; </w:t>
            </w:r>
          </w:p>
          <w:p w:rsidR="00C74B27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2015 год – 161 031,1 тыс. руб.; </w:t>
            </w:r>
          </w:p>
          <w:p w:rsidR="0049403B" w:rsidRPr="00BD55A2" w:rsidRDefault="00C74B27" w:rsidP="00BD55A2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36 159,5 тыс. руб.</w:t>
            </w:r>
          </w:p>
        </w:tc>
      </w:tr>
      <w:tr w:rsidR="00B259E0" w:rsidRPr="00BD55A2" w:rsidTr="00674330">
        <w:tblPrEx>
          <w:tblCellMar>
            <w:left w:w="70" w:type="dxa"/>
            <w:right w:w="70" w:type="dxa"/>
          </w:tblCellMar>
        </w:tblPrEx>
        <w:trPr>
          <w:trHeight w:val="1644"/>
        </w:trPr>
        <w:tc>
          <w:tcPr>
            <w:tcW w:w="2127" w:type="dxa"/>
          </w:tcPr>
          <w:p w:rsidR="00585AFD" w:rsidRPr="00BD55A2" w:rsidRDefault="00585AF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512" w:type="dxa"/>
          </w:tcPr>
          <w:p w:rsidR="00585AFD" w:rsidRPr="00BD55A2" w:rsidRDefault="006C6C7E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Расселение 46 </w:t>
            </w:r>
            <w:r w:rsidR="00585AFD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аварийных многоквартирных домов посредством обеспечения </w:t>
            </w:r>
            <w:r w:rsidR="00512658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благоустроенным жильем 1 157</w:t>
            </w:r>
            <w:r w:rsidR="00585AFD"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</w:t>
            </w:r>
          </w:p>
        </w:tc>
      </w:tr>
    </w:tbl>
    <w:p w:rsidR="006C6C7E" w:rsidRDefault="006C6C7E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10D" w:rsidRPr="00BD55A2" w:rsidRDefault="0003310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6C6C7E" w:rsidP="00BD55A2">
      <w:pPr>
        <w:shd w:val="clear" w:color="auto" w:fill="FFFFFF" w:themeFill="background1"/>
        <w:tabs>
          <w:tab w:val="left" w:pos="426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85AFD" w:rsidRPr="00BD55A2">
        <w:rPr>
          <w:rFonts w:ascii="Times New Roman" w:hAnsi="Times New Roman" w:cs="Times New Roman"/>
          <w:bCs/>
          <w:sz w:val="28"/>
          <w:szCs w:val="28"/>
        </w:rPr>
        <w:t>Характеристи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ка проблемы, на решение которой </w:t>
      </w:r>
      <w:r w:rsidR="00585AFD" w:rsidRPr="00BD55A2">
        <w:rPr>
          <w:rFonts w:ascii="Times New Roman" w:hAnsi="Times New Roman" w:cs="Times New Roman"/>
          <w:bCs/>
          <w:sz w:val="28"/>
          <w:szCs w:val="28"/>
        </w:rPr>
        <w:t>направлена подпрограмма</w:t>
      </w:r>
    </w:p>
    <w:p w:rsidR="006C6C7E" w:rsidRPr="00BD55A2" w:rsidRDefault="006C6C7E" w:rsidP="00BD55A2">
      <w:pPr>
        <w:pStyle w:val="a6"/>
        <w:shd w:val="clear" w:color="auto" w:fill="FFFFFF" w:themeFill="background1"/>
        <w:spacing w:after="0" w:line="240" w:lineRule="auto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За период с 2005 по 2010 годы в рамках целевой программы 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Переселение граждан города Мурманска из ветхого и аварийного жилищного фонда на 2005-2010 годы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>, утвержденной решением Мурманского городского Совета от 07.04.2005 № 6-60, 354 гражданам были предоставлены благоустроенные жилые помещения общей площадью 6 421,6 кв. м на сумму 117 122,5 тыс. руб., в том числе: 77 653,8 тыс. руб. за счет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средств бюджета муниципального образования город Мурманск, 10 389,7 тыс. руб. за счет средств федерального бюджета, за счет внебюджетных средств</w:t>
      </w:r>
      <w:r w:rsidR="0091170F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>–29 079,0 тыс. руб.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За период действия долгосрочной целевой программы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на 2012-2017 годы, утвержденной постановлением администрации города Мурманска от 10.10.2011 № 1863 (далее – Адресная программа), в 2012-2013 годах приобретены благоустроенные жилые помещения для предоставления жителям аварийных домов, в том числе, путем участия в долевом строительстве, на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сумму 595 763,6 тыс. руб., из них: 291 949,3 тыс. руб. за счет средств бюджета муниципального образования город Мурманск, 182 280,6 тыс. руб. за счет средств областного бюджета и </w:t>
      </w:r>
      <w:r w:rsidR="003C5DB6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>123 348,7 тыс. руб. за счет средств федерального бюджета. Переселено из аварийного жилищного фонда 479 человек.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="003C5DB6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№ 185-ФЗ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О Фонде содействия реформированию жилищно-коммунального хозяйства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185-ФЗ).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185-ФЗ позволяет решить проблему переселения граждан, проживающих в аварийном жилищном фонде, признанном до 01.01.2012 в установленном порядке аварийным и подлежащим сносу или реконструкции в связи с физическим износом в процессе его эксплуатации, и </w:t>
      </w:r>
      <w:r w:rsidR="00C277CB" w:rsidRPr="00BD55A2">
        <w:rPr>
          <w:rFonts w:ascii="Times New Roman" w:hAnsi="Times New Roman" w:cs="Times New Roman"/>
          <w:bCs/>
          <w:sz w:val="28"/>
          <w:szCs w:val="28"/>
        </w:rPr>
        <w:t>о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дновременноподдержатьразвитие малоэтажного жилищного строительства на территориях субъектов Российской Федерации.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Всего на территории города Мурманска расположены 62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дома, признанных аварийными и подлежащими сносу в установленном порядке до 01.01.2012. В перечень многоквартирных домов, подлежащих расселению в рамках финансирования подпрограммы, включены 42 из них, так как приобретение жилья для расселения 4 домов полностью и </w:t>
      </w:r>
      <w:r w:rsidR="00613CCB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23 домов частично при </w:t>
      </w:r>
      <w:proofErr w:type="spellStart"/>
      <w:r w:rsidRPr="00BD55A2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за счет средств Фонда содействия реформированию жилищно-коммунального хозяйства (далее – Фонд) осуществлялось в 2013 го</w:t>
      </w:r>
      <w:r w:rsidR="006C6C7E" w:rsidRPr="00BD55A2">
        <w:rPr>
          <w:rFonts w:ascii="Times New Roman" w:hAnsi="Times New Roman" w:cs="Times New Roman"/>
          <w:bCs/>
          <w:sz w:val="28"/>
          <w:szCs w:val="28"/>
        </w:rPr>
        <w:t xml:space="preserve">ду в рамках Адресной программы. 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  приобретению жилья для граждан, проживающих в </w:t>
      </w:r>
      <w:r w:rsidR="00613CCB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>16 многоквартирных домах, признанных аварийными до 01.11.2012 и не вошедших в настоящую подпрограмму, предусмотрено в 2012</w:t>
      </w:r>
      <w:r w:rsidR="00E437FB" w:rsidRPr="00BD55A2">
        <w:rPr>
          <w:rFonts w:ascii="Times New Roman" w:hAnsi="Times New Roman" w:cs="Times New Roman"/>
          <w:bCs/>
          <w:sz w:val="28"/>
          <w:szCs w:val="28"/>
        </w:rPr>
        <w:t>-</w:t>
      </w:r>
      <w:r w:rsidRPr="00BD55A2">
        <w:rPr>
          <w:rFonts w:ascii="Times New Roman" w:hAnsi="Times New Roman" w:cs="Times New Roman"/>
          <w:bCs/>
          <w:sz w:val="28"/>
          <w:szCs w:val="28"/>
        </w:rPr>
        <w:t>2013 годах за счет средств бюджета муниципального образования город Мурманск и областного бюджета в рамках реализации Адресной программы.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="00613CCB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>до 01.01.2012, его сноса или реконструкции либо перевода указанного имущества в состав нежилого фонда.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снизить социальную напряженность и улучшить архитектурный облик города.  В условиях рыночной экономики особенно важна социальная направленность предлагаемых мер. Основную часть жилых помещений в аварийных многоквартирных домах занимают граждане по договорам социального найма, а жилые помещения являются муниципальной собственностью.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8F392E" w:rsidRPr="00BD55A2" w:rsidRDefault="008F392E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D42F69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5AFD" w:rsidRPr="00BD55A2">
        <w:rPr>
          <w:rFonts w:ascii="Times New Roman" w:hAnsi="Times New Roman" w:cs="Times New Roman"/>
          <w:bCs/>
          <w:sz w:val="28"/>
          <w:szCs w:val="28"/>
        </w:rPr>
        <w:t>Основная цель и задачи подпрограммы, целевые показатели (индикаторы) реализации подпрограммы</w:t>
      </w:r>
    </w:p>
    <w:p w:rsidR="008F392E" w:rsidRPr="00BD55A2" w:rsidRDefault="008F392E" w:rsidP="00BD55A2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560"/>
        <w:gridCol w:w="665"/>
        <w:gridCol w:w="1245"/>
        <w:gridCol w:w="1148"/>
        <w:gridCol w:w="1000"/>
        <w:gridCol w:w="998"/>
        <w:gridCol w:w="880"/>
        <w:gridCol w:w="704"/>
      </w:tblGrid>
      <w:tr w:rsidR="0049403B" w:rsidRPr="00BD55A2" w:rsidTr="0049403B">
        <w:trPr>
          <w:tblHeader/>
        </w:trPr>
        <w:tc>
          <w:tcPr>
            <w:tcW w:w="0" w:type="auto"/>
            <w:vMerge w:val="restart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0" w:type="auto"/>
            <w:gridSpan w:val="7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9403B" w:rsidRPr="00BD55A2" w:rsidTr="0049403B">
        <w:trPr>
          <w:tblHeader/>
        </w:trPr>
        <w:tc>
          <w:tcPr>
            <w:tcW w:w="0" w:type="auto"/>
            <w:vMerge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bottom w:val="nil"/>
            </w:tcBorders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  <w:tc>
          <w:tcPr>
            <w:tcW w:w="0" w:type="auto"/>
            <w:vMerge w:val="restart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gridSpan w:val="4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9403B" w:rsidRPr="00BD55A2" w:rsidTr="0049403B">
        <w:trPr>
          <w:tblHeader/>
        </w:trPr>
        <w:tc>
          <w:tcPr>
            <w:tcW w:w="0" w:type="auto"/>
            <w:vMerge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vMerge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 год*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9403B" w:rsidRPr="00BD55A2" w:rsidTr="0049403B">
        <w:trPr>
          <w:tblHeader/>
        </w:trPr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403B" w:rsidRPr="00BD55A2" w:rsidTr="0049403B">
        <w:tc>
          <w:tcPr>
            <w:tcW w:w="0" w:type="auto"/>
            <w:gridSpan w:val="8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Цель: переселение граждан из аварийного жилищного фонда</w:t>
            </w:r>
          </w:p>
        </w:tc>
        <w:tc>
          <w:tcPr>
            <w:tcW w:w="0" w:type="auto"/>
          </w:tcPr>
          <w:p w:rsidR="0049403B" w:rsidRPr="00BD55A2" w:rsidRDefault="0049403B" w:rsidP="00BD55A2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FD5" w:rsidRPr="00BD55A2" w:rsidTr="0049403B"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граждан, переселенных из аварийных многоквартирных домов (нарастающим итогом)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28,26*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75,71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6FD5" w:rsidRPr="00BD55A2" w:rsidTr="00C53245">
        <w:trPr>
          <w:trHeight w:val="4113"/>
        </w:trPr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Расселенная площадь жилых помещений в аварийных многоквартирных домах,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4807,7*</w:t>
            </w:r>
          </w:p>
        </w:tc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2763,7*</w:t>
            </w:r>
          </w:p>
        </w:tc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0" w:type="auto"/>
            <w:vAlign w:val="center"/>
          </w:tcPr>
          <w:p w:rsidR="00F86FD5" w:rsidRPr="00BD55A2" w:rsidRDefault="00F86FD5" w:rsidP="00BD55A2">
            <w:pPr>
              <w:shd w:val="clear" w:color="auto" w:fill="FFFFFF" w:themeFill="background1"/>
              <w:spacing w:after="0" w:line="240" w:lineRule="auto"/>
              <w:ind w:left="-360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   2536,7</w:t>
            </w:r>
          </w:p>
        </w:tc>
      </w:tr>
    </w:tbl>
    <w:p w:rsidR="00D42F69" w:rsidRPr="00BD55A2" w:rsidRDefault="0049403B" w:rsidP="00BD55A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Показатели года сформированы с учетом приобретенных в предыдущем году жилых помещений для переселения граждан из аварийного жилищного фонда при </w:t>
      </w:r>
      <w:proofErr w:type="spellStart"/>
      <w:r w:rsidRPr="00BD55A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BD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Фонда.</w:t>
      </w:r>
    </w:p>
    <w:p w:rsidR="003C5DB6" w:rsidRPr="00BD55A2" w:rsidRDefault="003C5DB6" w:rsidP="00BD55A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подпрограммы</w:t>
      </w:r>
    </w:p>
    <w:p w:rsidR="00A37552" w:rsidRPr="00BD55A2" w:rsidRDefault="00A37552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градостроительства и территориального развития администрации города Мурманска.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Перечень основныхмероприятий подпрограммы: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строительство и приобретение жилья для граждан, проживающих в аварийных многоквартирных домах;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переселение граждан, проживающих в аварийных многоквартирных домах;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снос или реконструкция расселенных домов либо перевод указанного имущества в состав нежилого фонда;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градостроительства и территориального развития администрации города Мурманска (исполнитель – ММКУ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Мурманское муниципальное казенное учреждение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Учитывая то, что мероприятия по приобретению жилых помещений для переселения граждан завершаются в </w:t>
      </w:r>
      <w:r w:rsidRPr="00BD55A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квартале текущего года и то, что срок действия контракта (контрактов) на участие в долевом строительстве может выходить за рамки текущего года, фактическое переселение граждан в такие жилые помещения может осуществляться как в текущем, так и в следующем году.</w:t>
      </w:r>
      <w:proofErr w:type="gramEnd"/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</w:t>
      </w:r>
    </w:p>
    <w:p w:rsidR="00C070A6" w:rsidRPr="00BD55A2" w:rsidRDefault="00C070A6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подпрограммы</w:t>
      </w:r>
    </w:p>
    <w:p w:rsidR="00C070A6" w:rsidRPr="00BD55A2" w:rsidRDefault="00C070A6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Финансирование подпрограммы планируется осуществлять за счет средств Фонда, бюджета Мурманской области и бюджета муниципального образования город Мурманск.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</w:t>
      </w:r>
      <w:r w:rsidR="004C498B" w:rsidRPr="00BD55A2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сноса многоквартирных домов, в том числе </w:t>
      </w:r>
      <w:proofErr w:type="spellStart"/>
      <w:r w:rsidR="004C498B" w:rsidRPr="00BD55A2">
        <w:rPr>
          <w:rFonts w:ascii="Times New Roman" w:hAnsi="Times New Roman" w:cs="Times New Roman"/>
          <w:bCs/>
          <w:sz w:val="28"/>
          <w:szCs w:val="28"/>
        </w:rPr>
        <w:t>предпроектных</w:t>
      </w:r>
      <w:proofErr w:type="spellEnd"/>
      <w:r w:rsidR="004C498B" w:rsidRPr="00BD55A2">
        <w:rPr>
          <w:rFonts w:ascii="Times New Roman" w:hAnsi="Times New Roman" w:cs="Times New Roman"/>
          <w:bCs/>
          <w:sz w:val="28"/>
          <w:szCs w:val="28"/>
        </w:rPr>
        <w:t xml:space="preserve"> работ, произведен из расчета средней рыночной стоимости сноса одного здания, сост</w:t>
      </w:r>
      <w:r w:rsidR="00455628" w:rsidRPr="00BD55A2">
        <w:rPr>
          <w:rFonts w:ascii="Times New Roman" w:hAnsi="Times New Roman" w:cs="Times New Roman"/>
          <w:bCs/>
          <w:sz w:val="28"/>
          <w:szCs w:val="28"/>
        </w:rPr>
        <w:t>а</w:t>
      </w:r>
      <w:r w:rsidR="004C498B" w:rsidRPr="00BD55A2">
        <w:rPr>
          <w:rFonts w:ascii="Times New Roman" w:hAnsi="Times New Roman" w:cs="Times New Roman"/>
          <w:bCs/>
          <w:sz w:val="28"/>
          <w:szCs w:val="28"/>
        </w:rPr>
        <w:t>вляющей 1 500,0 тыс</w:t>
      </w:r>
      <w:proofErr w:type="gramStart"/>
      <w:r w:rsidR="004C498B" w:rsidRPr="00BD55A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4C498B" w:rsidRPr="00BD55A2">
        <w:rPr>
          <w:rFonts w:ascii="Times New Roman" w:hAnsi="Times New Roman" w:cs="Times New Roman"/>
          <w:bCs/>
          <w:sz w:val="28"/>
          <w:szCs w:val="28"/>
        </w:rPr>
        <w:t>уб., и общего количества многоквартирных домов, включенных в подпрограмму.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Для определения объема финансовых средств, необходимых для реализации подпрограммы в части приобретения жилых помещений для переселения граждан из аварийных </w:t>
      </w:r>
      <w:r w:rsidR="00822029" w:rsidRPr="00BD55A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 w:rsidRPr="00BD55A2">
        <w:rPr>
          <w:rFonts w:ascii="Times New Roman" w:hAnsi="Times New Roman" w:cs="Times New Roman"/>
          <w:bCs/>
          <w:sz w:val="28"/>
          <w:szCs w:val="28"/>
        </w:rPr>
        <w:t>, стоимость одного квадратного метра общей площади благоустроенного жилья установлена в размере 55,0 тыс. руб.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приобретении жилых помещений путем участия в долевом строительстве – 55,0 тыс. руб.;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- при приобретении жилых помещений на первичном рынке </w:t>
      </w:r>
      <w:r w:rsidR="00613CCB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>жилья – 55,0 тыс. руб.;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- при приобретении жилых помещений на вторичном рынке </w:t>
      </w:r>
      <w:r w:rsidR="00613CCB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жилья –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44-ФЗ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Закон 44-ФЗ).</w:t>
      </w:r>
      <w:proofErr w:type="gramEnd"/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</w:t>
      </w:r>
      <w:r w:rsidR="00613CCB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>44-ФЗ, на общую площадь жилого помещения, которое требуется приобрести.</w:t>
      </w:r>
      <w:proofErr w:type="gramEnd"/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(цены лота) осуществляется по максимальной площади.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При этом цена муниципального контракта (цена лота),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итогам процедуры определения поставщика (подрядчика, исполнителя).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Выкупная цена жилого помещения, сроки и другие условия выкупа определяются соглашением с собственником жилого помещения.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При определении выкупной цены жилого помещения в нее включается рыночная стоимость жилого помещения, а также все убытки, причиненные собственнику жилого помещения его изъятием.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 </w:t>
      </w:r>
    </w:p>
    <w:p w:rsidR="00DF23C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вносятся соответствующие изменения.</w:t>
      </w:r>
    </w:p>
    <w:p w:rsidR="00613CCB" w:rsidRPr="00BD55A2" w:rsidRDefault="00613CCB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5"/>
        <w:gridCol w:w="1418"/>
        <w:gridCol w:w="1417"/>
        <w:gridCol w:w="1418"/>
        <w:gridCol w:w="1559"/>
      </w:tblGrid>
      <w:tr w:rsidR="00336E59" w:rsidRPr="00BD55A2" w:rsidTr="00DF23CD">
        <w:trPr>
          <w:trHeight w:val="473"/>
          <w:tblHeader/>
        </w:trPr>
        <w:tc>
          <w:tcPr>
            <w:tcW w:w="2694" w:type="dxa"/>
            <w:vMerge w:val="restart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firstLine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Всего,</w:t>
            </w:r>
          </w:p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5812" w:type="dxa"/>
            <w:gridSpan w:val="4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годам (этапам) реализации, тыс. руб.</w:t>
            </w:r>
          </w:p>
        </w:tc>
      </w:tr>
      <w:tr w:rsidR="00336E59" w:rsidRPr="00BD55A2" w:rsidTr="00DF23CD">
        <w:trPr>
          <w:trHeight w:val="197"/>
          <w:tblHeader/>
        </w:trPr>
        <w:tc>
          <w:tcPr>
            <w:tcW w:w="2694" w:type="dxa"/>
            <w:vMerge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336E59" w:rsidRPr="00BD55A2" w:rsidTr="00DF23CD">
        <w:trPr>
          <w:trHeight w:val="263"/>
          <w:tblHeader/>
        </w:trPr>
        <w:tc>
          <w:tcPr>
            <w:tcW w:w="2694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C74B27" w:rsidRPr="00BD55A2" w:rsidTr="00DF23CD">
        <w:trPr>
          <w:trHeight w:val="333"/>
        </w:trPr>
        <w:tc>
          <w:tcPr>
            <w:tcW w:w="2694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818 481,5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199 251,0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491 697,0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410 585,2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20 947,9</w:t>
            </w:r>
          </w:p>
        </w:tc>
      </w:tr>
      <w:tr w:rsidR="00336E59" w:rsidRPr="00BD55A2" w:rsidTr="00DF23CD">
        <w:trPr>
          <w:trHeight w:val="267"/>
        </w:trPr>
        <w:tc>
          <w:tcPr>
            <w:tcW w:w="9781" w:type="dxa"/>
            <w:gridSpan w:val="6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за счет:</w:t>
            </w:r>
          </w:p>
        </w:tc>
      </w:tr>
      <w:tr w:rsidR="00C74B27" w:rsidRPr="00BD55A2" w:rsidTr="00DF23CD">
        <w:tc>
          <w:tcPr>
            <w:tcW w:w="2694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410 585,2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123 516,9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241 631,0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24 489,4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20 947,9</w:t>
            </w:r>
          </w:p>
        </w:tc>
      </w:tr>
      <w:tr w:rsidR="00C74B27" w:rsidRPr="00BD55A2" w:rsidTr="00DF23CD"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160 276,5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45 936,7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4B27" w:rsidRPr="00BD55A2" w:rsidTr="00DF23CD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247 619,8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36 159,5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36E59" w:rsidRPr="00BD55A2" w:rsidTr="00DF23CD">
        <w:trPr>
          <w:trHeight w:val="407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заказчикам:</w:t>
            </w:r>
          </w:p>
        </w:tc>
      </w:tr>
      <w:tr w:rsidR="00336E59" w:rsidRPr="00BD55A2" w:rsidTr="00DF23CD">
        <w:trPr>
          <w:trHeight w:val="304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C74B27" w:rsidRPr="00BD55A2" w:rsidTr="00DF23CD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375 275,9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122 016,9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241 631,0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11 628,0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4B27" w:rsidRPr="00BD55A2" w:rsidTr="00DF23CD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160 276,5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45 936,7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74B27" w:rsidRPr="00BD55A2" w:rsidTr="00DF23CD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247 619,8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36 159,5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36E59" w:rsidRPr="00BD55A2" w:rsidTr="00DF23CD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36E59" w:rsidRPr="00BD55A2" w:rsidTr="00DF23CD">
        <w:trPr>
          <w:trHeight w:val="430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C74B27" w:rsidRPr="00BD55A2" w:rsidTr="00DF23CD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C74B27" w:rsidRPr="00BD55A2" w:rsidRDefault="00C74B27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35 309,3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12 861,4</w:t>
            </w:r>
          </w:p>
        </w:tc>
        <w:tc>
          <w:tcPr>
            <w:tcW w:w="1559" w:type="dxa"/>
            <w:vAlign w:val="center"/>
          </w:tcPr>
          <w:p w:rsidR="00C74B27" w:rsidRPr="00BD55A2" w:rsidRDefault="00C74B27" w:rsidP="00BD55A2">
            <w:pPr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20 947,9</w:t>
            </w:r>
          </w:p>
        </w:tc>
      </w:tr>
      <w:tr w:rsidR="00336E59" w:rsidRPr="00BD55A2" w:rsidTr="00DF23CD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36E59" w:rsidRPr="00BD55A2" w:rsidTr="00DF23CD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36E59" w:rsidRPr="00BD55A2" w:rsidTr="00DF23CD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F23CD" w:rsidRPr="00BD55A2" w:rsidRDefault="00DF23CD" w:rsidP="00BD55A2">
            <w:pPr>
              <w:shd w:val="clear" w:color="auto" w:fill="FFFFFF" w:themeFill="background1"/>
              <w:spacing w:after="0" w:line="240" w:lineRule="auto"/>
              <w:ind w:right="-1"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A37552" w:rsidRPr="00BD55A2" w:rsidRDefault="00A37552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7CB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5. Механизм реализации подпрограммы</w:t>
      </w:r>
    </w:p>
    <w:p w:rsidR="00564C00" w:rsidRPr="00BD55A2" w:rsidRDefault="00564C00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Заказчиками подпрограммы являются комитет имущественных отношений города Мурманска и комитет градостроительства</w:t>
      </w:r>
      <w:r w:rsidR="008A43C5" w:rsidRPr="00BD55A2">
        <w:rPr>
          <w:rFonts w:ascii="Times New Roman" w:hAnsi="Times New Roman" w:cs="Times New Roman"/>
          <w:bCs/>
          <w:sz w:val="28"/>
          <w:szCs w:val="28"/>
        </w:rPr>
        <w:tab/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и территориального развития администрации города Мурманска.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 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Исполнителями подпрограммы являются комитет имущественных отношений города Мурманска и ММКУ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Комитет имущественных отношений города Мурманска осуществляет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текущее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управление реализацией подпрограммы, оперативный контроль за ходом ее выполнения.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градостроительства и территориального развития администрации города Мурманска направляет в комитет имущественных отношений города Мурманска отчеты о реализации своих мероприятий </w:t>
      </w:r>
      <w:r w:rsidR="00613CCB" w:rsidRPr="00BD55A2">
        <w:rPr>
          <w:rFonts w:ascii="Times New Roman" w:hAnsi="Times New Roman" w:cs="Times New Roman"/>
          <w:bCs/>
          <w:sz w:val="28"/>
          <w:szCs w:val="28"/>
        </w:rPr>
        <w:br/>
      </w:r>
      <w:r w:rsidRPr="00BD55A2">
        <w:rPr>
          <w:rFonts w:ascii="Times New Roman" w:hAnsi="Times New Roman" w:cs="Times New Roman"/>
          <w:bCs/>
          <w:sz w:val="28"/>
          <w:szCs w:val="28"/>
        </w:rPr>
        <w:t>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</w:t>
      </w:r>
      <w:proofErr w:type="gramEnd"/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градостроительства и территориального развития администрации города Мурманска ежегодно готовит годовые отчеты о ходе реализации своих мероприятий в срок до 01 февраля года, следующего за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>, направляет их в комитет имущественных отношений города Мурманска.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 рамках настоящей подпрограммы переселению подлежат граждане, проживающие в 46 аварийных многоквартирных домах, признанных аварийными до 01.01.2012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участие в долевом строительстве, а также на изъятие у собственников путем выкупа жилых </w:t>
      </w:r>
      <w:r w:rsidR="00822029" w:rsidRPr="00BD55A2">
        <w:rPr>
          <w:rFonts w:ascii="Times New Roman" w:hAnsi="Times New Roman" w:cs="Times New Roman"/>
          <w:bCs/>
          <w:sz w:val="28"/>
          <w:szCs w:val="28"/>
        </w:rPr>
        <w:t>помещений в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связи с изъятием соответствующего земельного участка для муниципальных нужд.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Перечень аварийных домов, приобретение жилых помещений, для расселения которых осуществлялось при </w:t>
      </w:r>
      <w:proofErr w:type="spellStart"/>
      <w:r w:rsidRPr="00BD55A2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за счет средств Фонда в рамках Адресной программы в 2013 году, представлен в приложении № 3.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Переселение граждан из многоквартирных домов, указанных в приложении № 3 к настоящей подпрограмме, осуществляется в 2014 году.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Перечень аварийных многоквартирных домов, жилые помещения собственников в которых подлежат выкупу в связи с принятием решения об изъятии земельного участка и жилых помещений для муниципальных нужд, объемы и источники финансирования приведены в приложении № 4. Объемы финансирования определены с учетом произведенной независимой оценки подлежащих изъятию жилых помещений.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E57AA5" w:rsidRPr="00BD55A2" w:rsidRDefault="00E57AA5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57AA5" w:rsidRPr="00BD55A2" w:rsidRDefault="00E57AA5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Результатом реализации подпрограммы является </w:t>
      </w:r>
      <w:r w:rsidR="00822029" w:rsidRPr="00BD55A2">
        <w:rPr>
          <w:rFonts w:ascii="Times New Roman" w:hAnsi="Times New Roman" w:cs="Times New Roman"/>
          <w:bCs/>
          <w:sz w:val="28"/>
          <w:szCs w:val="28"/>
        </w:rPr>
        <w:t>обеспечение благоустроенным</w:t>
      </w:r>
      <w:r w:rsidR="00512658" w:rsidRPr="00BD55A2">
        <w:rPr>
          <w:rFonts w:ascii="Times New Roman" w:hAnsi="Times New Roman" w:cs="Times New Roman"/>
          <w:bCs/>
          <w:sz w:val="28"/>
          <w:szCs w:val="28"/>
        </w:rPr>
        <w:t xml:space="preserve"> жильем 1 157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граждан, проживающих в 46 аварийных многокварти</w:t>
      </w:r>
      <w:r w:rsidR="00512658" w:rsidRPr="00BD55A2">
        <w:rPr>
          <w:rFonts w:ascii="Times New Roman" w:hAnsi="Times New Roman" w:cs="Times New Roman"/>
          <w:bCs/>
          <w:sz w:val="28"/>
          <w:szCs w:val="28"/>
        </w:rPr>
        <w:t>рных домах, с высвобождением 514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жилых п</w:t>
      </w:r>
      <w:r w:rsidR="00512658" w:rsidRPr="00BD55A2">
        <w:rPr>
          <w:rFonts w:ascii="Times New Roman" w:hAnsi="Times New Roman" w:cs="Times New Roman"/>
          <w:bCs/>
          <w:sz w:val="28"/>
          <w:szCs w:val="28"/>
        </w:rPr>
        <w:t>омещений общей площадью 17 26</w:t>
      </w:r>
      <w:r w:rsidR="0049403B" w:rsidRPr="00BD55A2">
        <w:rPr>
          <w:rFonts w:ascii="Times New Roman" w:hAnsi="Times New Roman" w:cs="Times New Roman"/>
          <w:bCs/>
          <w:sz w:val="28"/>
          <w:szCs w:val="28"/>
        </w:rPr>
        <w:t>6</w:t>
      </w:r>
      <w:r w:rsidR="00512658" w:rsidRPr="00BD55A2">
        <w:rPr>
          <w:rFonts w:ascii="Times New Roman" w:hAnsi="Times New Roman" w:cs="Times New Roman"/>
          <w:bCs/>
          <w:sz w:val="28"/>
          <w:szCs w:val="28"/>
        </w:rPr>
        <w:t>,</w:t>
      </w:r>
      <w:r w:rsidR="0049403B" w:rsidRPr="00BD55A2">
        <w:rPr>
          <w:rFonts w:ascii="Times New Roman" w:hAnsi="Times New Roman" w:cs="Times New Roman"/>
          <w:bCs/>
          <w:sz w:val="28"/>
          <w:szCs w:val="28"/>
        </w:rPr>
        <w:t>2</w:t>
      </w:r>
      <w:r w:rsidRPr="00BD55A2">
        <w:rPr>
          <w:rFonts w:ascii="Times New Roman" w:hAnsi="Times New Roman" w:cs="Times New Roman"/>
          <w:bCs/>
          <w:sz w:val="28"/>
          <w:szCs w:val="28"/>
        </w:rPr>
        <w:t>кв.м.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Внешние риски подпрограммы: изменения федерального и/или регионального законодательства.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нормативно-правовых актов.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Также внутренними рисками подпрограммы могут являться: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рынке жилья в городе Мурманске и в строящихся домах, а также недофинансирование подпрограммы, не заключение соглашения о выкупной цене жилого помещения, сроках и других условиях выкупа с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собственником жилого помещения. 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585AFD" w:rsidRPr="00BD55A2" w:rsidRDefault="00585AF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77392" w:rsidRPr="00BD55A2" w:rsidRDefault="00777392" w:rsidP="00BD55A2">
      <w:pPr>
        <w:shd w:val="clear" w:color="auto" w:fill="FFFFFF" w:themeFill="background1"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7502" w:rsidRPr="00BD55A2" w:rsidRDefault="00E57502" w:rsidP="00BD55A2">
      <w:pPr>
        <w:shd w:val="clear" w:color="auto" w:fill="FFFFFF" w:themeFill="background1"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  <w:sectPr w:rsidR="00E57502" w:rsidRPr="00BD55A2" w:rsidSect="00822029">
          <w:headerReference w:type="default" r:id="rId8"/>
          <w:headerReference w:type="first" r:id="rId9"/>
          <w:pgSz w:w="11906" w:h="16838"/>
          <w:pgMar w:top="1134" w:right="851" w:bottom="1134" w:left="1418" w:header="340" w:footer="0" w:gutter="0"/>
          <w:cols w:space="708"/>
          <w:docGrid w:linePitch="381"/>
        </w:sectPr>
      </w:pPr>
    </w:p>
    <w:p w:rsidR="00F137E5" w:rsidRPr="00BD55A2" w:rsidRDefault="00F137E5" w:rsidP="00BD55A2">
      <w:pPr>
        <w:shd w:val="clear" w:color="auto" w:fill="FFFFFF" w:themeFill="background1"/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подпрограмме</w:t>
      </w:r>
    </w:p>
    <w:p w:rsidR="00615C83" w:rsidRPr="00BD55A2" w:rsidRDefault="00615C83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E5" w:rsidRPr="00BD55A2" w:rsidRDefault="00F137E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основных мероприятий подпрограммы</w:t>
      </w:r>
    </w:p>
    <w:p w:rsidR="00F137E5" w:rsidRPr="00BD55A2" w:rsidRDefault="00F137E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основных мероприятий подпрограммы на 2014-2015 годы</w:t>
      </w:r>
    </w:p>
    <w:p w:rsidR="00E57502" w:rsidRPr="00BD55A2" w:rsidRDefault="00E57502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5" w:type="pct"/>
        <w:tblLayout w:type="fixed"/>
        <w:tblLook w:val="04A0"/>
      </w:tblPr>
      <w:tblGrid>
        <w:gridCol w:w="525"/>
        <w:gridCol w:w="3411"/>
        <w:gridCol w:w="708"/>
        <w:gridCol w:w="860"/>
        <w:gridCol w:w="1050"/>
        <w:gridCol w:w="1046"/>
        <w:gridCol w:w="1123"/>
        <w:gridCol w:w="1937"/>
        <w:gridCol w:w="833"/>
        <w:gridCol w:w="747"/>
        <w:gridCol w:w="830"/>
        <w:gridCol w:w="2185"/>
      </w:tblGrid>
      <w:tr w:rsidR="00EB1989" w:rsidRPr="00BD55A2" w:rsidTr="00613CCB">
        <w:trPr>
          <w:trHeight w:val="66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№,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CCB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r w:rsidR="00613CCB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</w:t>
            </w:r>
            <w:proofErr w:type="spellEnd"/>
            <w:proofErr w:type="gramEnd"/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  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r w:rsidR="000A6522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</w:t>
            </w:r>
            <w:r w:rsidR="005F7C75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Исполнители, перечень организаций, участвующих в реализации  мероприятий </w:t>
            </w:r>
          </w:p>
        </w:tc>
      </w:tr>
      <w:tr w:rsidR="00EB1989" w:rsidRPr="00BD55A2" w:rsidTr="000A6522">
        <w:trPr>
          <w:trHeight w:val="418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ед. измерения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показателя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13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B1989" w:rsidRPr="00BD55A2" w:rsidTr="004D5E1C">
        <w:trPr>
          <w:trHeight w:val="2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EB1989" w:rsidRPr="00BD55A2" w:rsidTr="00613CCB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приобретение жилья для граждан, проживающих в аварийных многоквартирных домах, в том числе участие в долевом строительстве и выкуп жилых помещений у собственников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2014 - 2015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363 647,9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122 016,9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241 631,0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приобретенных жилых помещений,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5 374,4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6 000,7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8 914,7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EB1989" w:rsidRPr="00BD55A2" w:rsidTr="00613CCB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114 339,8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25 304,9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89 034,9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277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211 460,3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50 429,2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161 031,1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689 448,0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197 751,0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491 697,0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0A6522">
        <w:trPr>
          <w:trHeight w:val="207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13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Переселение граждан, проживающих в аварийных многоквартирных домах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2014 - 2015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расселенных жилых помещений,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EB1989" w:rsidRPr="00BD55A2" w:rsidTr="00613CCB">
        <w:trPr>
          <w:trHeight w:val="19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128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188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26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сноса аварийных многоквартирных домов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2014 - 2015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снесенных домов,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КГТР (ММКУ </w:t>
            </w:r>
            <w:r w:rsidR="001E21A5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капитального строительства</w:t>
            </w:r>
            <w:r w:rsidR="001E21A5"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1989" w:rsidRPr="00BD55A2" w:rsidTr="00613CCB">
        <w:trPr>
          <w:trHeight w:val="66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8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10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252"/>
        </w:trPr>
        <w:tc>
          <w:tcPr>
            <w:tcW w:w="1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365 147,9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123 516,9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241 631,0</w:t>
            </w:r>
          </w:p>
        </w:tc>
        <w:tc>
          <w:tcPr>
            <w:tcW w:w="21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1989" w:rsidRPr="00BD55A2" w:rsidTr="00613CCB">
        <w:trPr>
          <w:trHeight w:val="300"/>
        </w:trPr>
        <w:tc>
          <w:tcPr>
            <w:tcW w:w="1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114 339,8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25 304,9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89 034,9</w:t>
            </w:r>
          </w:p>
        </w:tc>
        <w:tc>
          <w:tcPr>
            <w:tcW w:w="214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300"/>
        </w:trPr>
        <w:tc>
          <w:tcPr>
            <w:tcW w:w="1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211 460,3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50 429,2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161 031,1</w:t>
            </w:r>
          </w:p>
        </w:tc>
        <w:tc>
          <w:tcPr>
            <w:tcW w:w="214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9" w:rsidRPr="00BD55A2" w:rsidTr="00613CCB">
        <w:trPr>
          <w:trHeight w:val="255"/>
        </w:trPr>
        <w:tc>
          <w:tcPr>
            <w:tcW w:w="1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0A652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690 948,0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199 251,0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491 697,0</w:t>
            </w:r>
          </w:p>
        </w:tc>
        <w:tc>
          <w:tcPr>
            <w:tcW w:w="2141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89" w:rsidRPr="00BD55A2" w:rsidRDefault="00EB1989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F7C75" w:rsidRPr="00BD55A2" w:rsidRDefault="005F7C7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FC7" w:rsidRPr="00BD55A2" w:rsidRDefault="001D4FC7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FC7" w:rsidRPr="00BD55A2" w:rsidRDefault="001D4FC7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02" w:rsidRPr="00BD55A2" w:rsidRDefault="00E57502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Перечень основных мероприятий на 2016-2017 годы</w:t>
      </w:r>
    </w:p>
    <w:p w:rsidR="00E57502" w:rsidRPr="00BD55A2" w:rsidRDefault="00E57502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612"/>
        <w:gridCol w:w="4240"/>
        <w:gridCol w:w="1150"/>
        <w:gridCol w:w="1499"/>
        <w:gridCol w:w="983"/>
        <w:gridCol w:w="980"/>
        <w:gridCol w:w="887"/>
        <w:gridCol w:w="1824"/>
        <w:gridCol w:w="759"/>
        <w:gridCol w:w="762"/>
        <w:gridCol w:w="1918"/>
      </w:tblGrid>
      <w:tr w:rsidR="00210B00" w:rsidRPr="00BD55A2" w:rsidTr="001854E1">
        <w:trPr>
          <w:cantSplit/>
          <w:tblHeader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выполнения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  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Исполнители, перечень организаций, участвующих в реализации  мероприятий </w:t>
            </w:r>
          </w:p>
        </w:tc>
      </w:tr>
      <w:tr w:rsidR="00210B00" w:rsidRPr="00BD55A2" w:rsidTr="001854E1">
        <w:trPr>
          <w:cantSplit/>
          <w:tblHeader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  <w:tblHeader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10B00" w:rsidRPr="00BD55A2" w:rsidTr="001854E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45 437,3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24 489,4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20 947,9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переселенных граждан, чел.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КГТР (ММКУ "Управление капитального строительства")</w:t>
            </w: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45 936,7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45 936,7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36 159,5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36 159,5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11 387,8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11 387,8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приобретенных жилых помещений,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210B00" w:rsidRPr="00BD55A2" w:rsidTr="001854E1">
        <w:trPr>
          <w:cantSplit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приобретение жилья для граждан, проживающих в аварийных многоквартирных домах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45 936,7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45 936,7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36 159,5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36 159,5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Переселение граждан, проживающих в аварийных многоквартирных домах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расселенных жилых помещений,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ОБ:</w:t>
            </w:r>
          </w:p>
        </w:tc>
        <w:tc>
          <w:tcPr>
            <w:tcW w:w="92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ФБ:</w:t>
            </w:r>
          </w:p>
        </w:tc>
        <w:tc>
          <w:tcPr>
            <w:tcW w:w="92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сноса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расселеных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многоквартирных домов, в том числе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предпроектные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32 861,4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12 861,4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снесенных домов,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КГТР (ММКУ "Управление капитального строительства")</w:t>
            </w: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B00" w:rsidRPr="00BD55A2" w:rsidTr="001854E1">
        <w:trPr>
          <w:cantSplit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ограничению доступа в расселенные аварийные многоквартирные дома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аварийных домов в которые ограничен доступ,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КГТР (ММКУ "Управление капитального строительства")</w:t>
            </w:r>
          </w:p>
        </w:tc>
      </w:tr>
      <w:tr w:rsidR="00A02C06" w:rsidRPr="00BD55A2" w:rsidTr="001854E1">
        <w:trPr>
          <w:cantSplit/>
        </w:trPr>
        <w:tc>
          <w:tcPr>
            <w:tcW w:w="19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45 437,3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24 489,4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20 947,9</w:t>
            </w:r>
          </w:p>
        </w:tc>
        <w:tc>
          <w:tcPr>
            <w:tcW w:w="17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2C06" w:rsidRPr="00BD55A2" w:rsidTr="001854E1">
        <w:trPr>
          <w:cantSplit/>
        </w:trPr>
        <w:tc>
          <w:tcPr>
            <w:tcW w:w="19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45 936,7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45 936,7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2C06" w:rsidRPr="00BD55A2" w:rsidTr="001854E1">
        <w:trPr>
          <w:cantSplit/>
        </w:trPr>
        <w:tc>
          <w:tcPr>
            <w:tcW w:w="19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36 159,5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36 159,5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2C06" w:rsidRPr="00BD55A2" w:rsidTr="001854E1">
        <w:trPr>
          <w:cantSplit/>
        </w:trPr>
        <w:tc>
          <w:tcPr>
            <w:tcW w:w="19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127 533,5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106 585,6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20 947,9</w:t>
            </w:r>
          </w:p>
        </w:tc>
        <w:tc>
          <w:tcPr>
            <w:tcW w:w="1701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00" w:rsidRPr="00BD55A2" w:rsidRDefault="00210B0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F12B2" w:rsidRPr="00BD55A2" w:rsidRDefault="00B96CF9" w:rsidP="00BD55A2">
      <w:pPr>
        <w:shd w:val="clear" w:color="auto" w:fill="FFFFFF" w:themeFill="background1"/>
        <w:spacing w:after="16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D55A2">
        <w:rPr>
          <w:rFonts w:ascii="Times New Roman" w:hAnsi="Times New Roman" w:cs="Times New Roman"/>
          <w:bCs/>
          <w:sz w:val="18"/>
          <w:szCs w:val="18"/>
        </w:rPr>
        <w:br w:type="textWrapping" w:clear="all"/>
      </w:r>
    </w:p>
    <w:p w:rsidR="001F12B2" w:rsidRPr="00BD55A2" w:rsidRDefault="001F12B2" w:rsidP="00BD55A2">
      <w:pPr>
        <w:shd w:val="clear" w:color="auto" w:fill="FFFFFF" w:themeFill="background1"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12B2" w:rsidRPr="00BD55A2" w:rsidRDefault="001F12B2" w:rsidP="00BD5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lang w:eastAsia="ru-RU"/>
        </w:rPr>
        <w:tab/>
      </w:r>
      <w:r w:rsidRPr="00BD55A2">
        <w:rPr>
          <w:rFonts w:ascii="Times New Roman" w:eastAsia="Times New Roman" w:hAnsi="Times New Roman" w:cs="Times New Roman"/>
          <w:lang w:eastAsia="ru-RU"/>
        </w:rPr>
        <w:tab/>
      </w:r>
    </w:p>
    <w:p w:rsidR="008338DC" w:rsidRPr="00BD55A2" w:rsidRDefault="008338DC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D8" w:rsidRPr="00BD55A2" w:rsidRDefault="00B003D8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D8" w:rsidRPr="00BD55A2" w:rsidRDefault="00B003D8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F9" w:rsidRPr="00BD55A2" w:rsidRDefault="00B96CF9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245" w:rsidRPr="00BD55A2" w:rsidRDefault="00C53245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14" w:rsidRPr="00BD55A2" w:rsidRDefault="00B10814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14" w:rsidRPr="00BD55A2" w:rsidRDefault="00B10814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14" w:rsidRPr="00BD55A2" w:rsidRDefault="00B10814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C75" w:rsidRPr="00BD55A2" w:rsidRDefault="005F7C75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39" w:rsidRPr="00BD55A2" w:rsidRDefault="00235139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07" w:rsidRPr="00BD55A2" w:rsidRDefault="003F6607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39" w:rsidRPr="00BD55A2" w:rsidRDefault="00235139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6" w:rsidRPr="00BD55A2" w:rsidRDefault="00A02C06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B2" w:rsidRPr="00BD55A2" w:rsidRDefault="001F12B2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подпрограмме </w:t>
      </w:r>
    </w:p>
    <w:p w:rsidR="005477B0" w:rsidRPr="00BD55A2" w:rsidRDefault="005477B0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B0" w:rsidRPr="00BD55A2" w:rsidRDefault="005477B0" w:rsidP="00BD55A2">
      <w:pPr>
        <w:shd w:val="clear" w:color="auto" w:fill="FFFFFF" w:themeFill="background1"/>
        <w:tabs>
          <w:tab w:val="left" w:pos="386"/>
          <w:tab w:val="left" w:pos="3622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аварийных многоквартирных домов, подлежащих расселению, расчет потребности денежных средств</w:t>
      </w:r>
    </w:p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7" w:type="pct"/>
        <w:tblLayout w:type="fixed"/>
        <w:tblLook w:val="04A0"/>
      </w:tblPr>
      <w:tblGrid>
        <w:gridCol w:w="406"/>
        <w:gridCol w:w="3152"/>
        <w:gridCol w:w="518"/>
        <w:gridCol w:w="852"/>
        <w:gridCol w:w="677"/>
        <w:gridCol w:w="677"/>
        <w:gridCol w:w="456"/>
        <w:gridCol w:w="565"/>
        <w:gridCol w:w="428"/>
        <w:gridCol w:w="428"/>
        <w:gridCol w:w="708"/>
        <w:gridCol w:w="640"/>
        <w:gridCol w:w="640"/>
        <w:gridCol w:w="708"/>
        <w:gridCol w:w="708"/>
        <w:gridCol w:w="749"/>
        <w:gridCol w:w="771"/>
        <w:gridCol w:w="1217"/>
        <w:gridCol w:w="1305"/>
      </w:tblGrid>
      <w:tr w:rsidR="00421E15" w:rsidRPr="00BD55A2" w:rsidTr="00421E15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подтверждающего признание дома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аварийным</w:t>
            </w:r>
            <w:proofErr w:type="gram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окончания переселения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сноса или реконструкции МКД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Расселяемая площадь жилых помещений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переселения граждан, в том числе выкупа жилых помещений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финансирование на превышение стоимости 1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финансирование на превышение площади предоставляемого жилого помещения за счет средств местного бюджета</w:t>
            </w:r>
          </w:p>
        </w:tc>
      </w:tr>
      <w:tr w:rsidR="00421E15" w:rsidRPr="00BD55A2" w:rsidTr="00421E15">
        <w:trPr>
          <w:trHeight w:val="20"/>
          <w:tblHeader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E15" w:rsidRPr="00BD55A2" w:rsidTr="00421E15">
        <w:trPr>
          <w:trHeight w:val="20"/>
          <w:tblHeader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субъекта РФ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E15" w:rsidRPr="00BD55A2" w:rsidTr="00421E15">
        <w:trPr>
          <w:trHeight w:val="20"/>
          <w:tblHeader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421E15" w:rsidRPr="00BD55A2" w:rsidTr="00421E15">
        <w:trPr>
          <w:trHeight w:val="20"/>
          <w:tblHeader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21E15" w:rsidRPr="00BD55A2" w:rsidTr="00421E15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5 633,4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3 234,1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1 242,2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7 388,2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1 603,2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1 658,9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4 844,2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1 425,2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1 859,9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1 115,5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Шестой Комсомольской Батареи, д. 47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3 355,7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Бондарная,  д. 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298,5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Бондарная, д. 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6 734,2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1 981,4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2 586,5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300,4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Заводская, д. 5/5а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41 016,4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23 547,4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6 928,2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9 043,4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Загородная, д.  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9 889,2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Заречная, д. 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Калинина, д. 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453,6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Карла Либкнехта, д. 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417,7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Лесная, д. 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951,2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Лесная, д. 29а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2 871,3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3 748,2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Горького, д. 25/13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4 493,6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2 579,8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971,2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5 425,5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2 428,7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2 082,4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6 342,7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1 106,4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1 374,4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8 708,4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1 825,7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1 941,8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420,8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1 503,4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212,5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Первомайская, д. 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2 045,8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451,1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Сполохи, д. 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17 166,7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9 855,4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2 899,7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Челюскинцев, д. 19б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12 348,4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7 089,2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2 718,3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пр-д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Профессора Жуковского, д. 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440,9</w:t>
            </w:r>
          </w:p>
        </w:tc>
      </w:tr>
      <w:tr w:rsidR="00421E15" w:rsidRPr="00BD55A2" w:rsidTr="002A3B4B">
        <w:trPr>
          <w:trHeight w:val="20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этапу 2014 года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5 059,3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2 100,6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2 958,7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208 025,8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119 427,7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53 460,1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35 138,0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40 474,4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45 807,1</w:t>
            </w:r>
          </w:p>
        </w:tc>
      </w:tr>
      <w:tr w:rsidR="00421E15" w:rsidRPr="00BD55A2" w:rsidTr="002A3B4B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14 932,7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6 271,8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3 434,9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3 887,5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10 044,2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4 218,6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2 614,9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Бондарная,  д. 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19 245,6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8 083,2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6 735,4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6 553,4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5 010,3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11 528,5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4 034,6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13 464,9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5 655,3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пр-д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Профессора Жуковского, д. 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14 015,9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4 905,1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4 772,6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3 648,8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Заречная, д. 26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10 603,4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4 453,5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2 760,4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Заречная, д. 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11 211,9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4 709,0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2 918,9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Заречная, д. 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Калинина, д. 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5 270,9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1 372,2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Калинина, д. 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14 472,2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6 078,4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4 928,0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3 767,6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Калинина, д. 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206,6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Калинина, д. 69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15 171,2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5 166,0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3 949,6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Лесная, д. 27а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9 674,2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3 294,2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2 518,5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Горького, д. 25/13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23 973,8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10 069,1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8 163,4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6 241,2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Нахимова, д.4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22 222,3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5 111,7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7 567,0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5 785,3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4 040,4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2 655,6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3 005,6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179,8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8 666,9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2 256,3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1 096,5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679,7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2 705,3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704,3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Песочная, д. 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4 508,7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2 469,3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3 655,4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2 794,7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Профессора Сомова, д. 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20 836,7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7 095,2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5 424,6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Радищева, д. 56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14 501,0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5 074,9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3 775,1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Семёна Дежнёва, д. 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8 461,3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3 553,8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2 961,2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1 946,3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2 881,2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2 202,8</w:t>
            </w:r>
          </w:p>
        </w:tc>
      </w:tr>
      <w:tr w:rsidR="00421E15" w:rsidRPr="00BD55A2" w:rsidTr="002A3B4B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Фрунзе, д. 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23 875,1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10 027,8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5 492,2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8 129,8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6 215,6</w:t>
            </w:r>
          </w:p>
        </w:tc>
      </w:tr>
      <w:tr w:rsidR="00421E15" w:rsidRPr="00BD55A2" w:rsidTr="002A3B4B">
        <w:trPr>
          <w:trHeight w:val="20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этапу 2015 года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7 423,6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4 090,8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3 332,8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305 216,3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128 192,0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106 816,4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70 207,8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103 930,4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79 458,8</w:t>
            </w:r>
          </w:p>
        </w:tc>
      </w:tr>
      <w:tr w:rsidR="00421E15" w:rsidRPr="00BD55A2" w:rsidTr="002A3B4B">
        <w:trPr>
          <w:trHeight w:val="20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79" w:right="-1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12 482,9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6 191,4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186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513 242,1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247 619,7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160 276,5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ind w:left="-250" w:right="-2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105 345,8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144 404,8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5" w:rsidRPr="00BD55A2" w:rsidRDefault="00421E1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125 265,9</w:t>
            </w:r>
          </w:p>
        </w:tc>
      </w:tr>
    </w:tbl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EE" w:rsidRPr="00BD55A2" w:rsidRDefault="00485BE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B" w:rsidRPr="00BD55A2" w:rsidRDefault="002A3B4B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4" w:rsidRPr="00BD55A2" w:rsidRDefault="00F05AD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B2" w:rsidRPr="00BD55A2" w:rsidRDefault="001F12B2" w:rsidP="00BD5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подпрограмме </w:t>
      </w:r>
    </w:p>
    <w:p w:rsidR="001F12B2" w:rsidRPr="00BD55A2" w:rsidRDefault="001F12B2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B2" w:rsidRPr="00BD55A2" w:rsidRDefault="001F12B2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аварийных многоквартирных домов, финансирование мероприятий по приобретению жилья для переселения граждан из которых осуществлялось в 2013 году в рамках Адресной программы</w:t>
      </w:r>
    </w:p>
    <w:p w:rsidR="001F12B2" w:rsidRPr="00BD55A2" w:rsidRDefault="001F12B2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ayout w:type="fixed"/>
        <w:tblLook w:val="04A0"/>
      </w:tblPr>
      <w:tblGrid>
        <w:gridCol w:w="431"/>
        <w:gridCol w:w="1296"/>
        <w:gridCol w:w="509"/>
        <w:gridCol w:w="1084"/>
        <w:gridCol w:w="731"/>
        <w:gridCol w:w="731"/>
        <w:gridCol w:w="487"/>
        <w:gridCol w:w="609"/>
        <w:gridCol w:w="409"/>
        <w:gridCol w:w="409"/>
        <w:gridCol w:w="609"/>
        <w:gridCol w:w="571"/>
        <w:gridCol w:w="575"/>
        <w:gridCol w:w="853"/>
        <w:gridCol w:w="771"/>
        <w:gridCol w:w="818"/>
        <w:gridCol w:w="837"/>
        <w:gridCol w:w="571"/>
        <w:gridCol w:w="849"/>
        <w:gridCol w:w="849"/>
        <w:gridCol w:w="709"/>
        <w:gridCol w:w="906"/>
      </w:tblGrid>
      <w:tr w:rsidR="00301F1C" w:rsidRPr="00BD55A2" w:rsidTr="00F05AD4">
        <w:trPr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подтверждающего признание дома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аварийным</w:t>
            </w:r>
            <w:proofErr w:type="gramEnd"/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окончания переселения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сноса или реконструкции МКД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Расселяемая площадь жилых помещений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переселения граждан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финансирование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финансирование на превышение стоимости 1 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финансирование на превышение площади предоставляемого жилого помещения за счет средств местного бюджета</w:t>
            </w:r>
          </w:p>
        </w:tc>
      </w:tr>
      <w:tr w:rsidR="00301F1C" w:rsidRPr="00BD55A2" w:rsidTr="00F05AD4">
        <w:trPr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F1C" w:rsidRPr="00BD55A2" w:rsidTr="00F05AD4">
        <w:trPr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субъекта РФ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субъекта РФ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F1C" w:rsidRPr="00BD55A2" w:rsidTr="00F05AD4">
        <w:trPr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301F1C" w:rsidRPr="00BD55A2" w:rsidTr="00F05AD4">
        <w:trPr>
          <w:tblHeader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Шестой Комсомольской Батареи, д. 47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2 214,2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836,9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5 384,4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1 646,1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771,3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5 497,1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1 412,9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822,2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пр. Героев-североморцев, д. 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5 146,5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114,8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Первомайская, д. 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269,7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Первомайская, д. 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1 447,8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1 296,3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Карла Либкнехта, д. 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896,1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535,1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Горького, д. 25/13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590,7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Алексея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Генералова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3 339,3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3 213,7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604,7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Загородная, д. 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2 926,7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1 153,2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Лесная, д. 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1 154,9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Заречная, д. 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3 434,1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1 178,4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Заречная, д. 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2 747,3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1 038,3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Заречная, д. 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561,2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3 446,9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369,8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ул.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2 383,4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Челюскинцев, д. 19б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1 379,7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717,8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Зеленая, д. 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90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11 155,7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3 410,4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2 867,4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2 121,4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Зеленая, д. 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18 855,6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90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14 074,7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4 302,8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3 617,6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1 808,8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1 808,8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2 493,8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Зеленая, д. 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90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12 365,5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3 780,2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1 589,2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4 650,0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Калинина, д. 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5 936,1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1 354,6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1 203,6</w:t>
            </w:r>
          </w:p>
        </w:tc>
      </w:tr>
      <w:tr w:rsidR="00301F1C" w:rsidRPr="00BD55A2" w:rsidTr="00F05AD4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Калинина, д. 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261,0</w:t>
            </w:r>
          </w:p>
        </w:tc>
      </w:tr>
      <w:tr w:rsidR="00301F1C" w:rsidRPr="00BD55A2" w:rsidTr="00F05AD4"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г. Мурманск в 2013 году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4 807,7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2 135,5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2 672,2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165 247,3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123 348,7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37 708,7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4 189,9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31 704,4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15 852,2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15 852,2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06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12 009,3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1C" w:rsidRPr="00BD55A2" w:rsidRDefault="00301F1C" w:rsidP="00BD55A2">
            <w:pPr>
              <w:shd w:val="clear" w:color="auto" w:fill="FFFFFF" w:themeFill="background1"/>
              <w:spacing w:after="0" w:line="240" w:lineRule="auto"/>
              <w:ind w:left="-167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24 824,6</w:t>
            </w:r>
          </w:p>
        </w:tc>
      </w:tr>
    </w:tbl>
    <w:p w:rsidR="00456136" w:rsidRPr="00BD55A2" w:rsidRDefault="00456136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B0" w:rsidRPr="00BD55A2" w:rsidRDefault="005477B0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BE" w:rsidRPr="00BD55A2" w:rsidRDefault="003876BE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CA" w:rsidRPr="00BD55A2" w:rsidRDefault="004668CA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CA" w:rsidRPr="00BD55A2" w:rsidRDefault="004668CA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CA" w:rsidRPr="00BD55A2" w:rsidRDefault="004668CA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CA" w:rsidRPr="00BD55A2" w:rsidRDefault="004668CA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CA" w:rsidRPr="00BD55A2" w:rsidRDefault="004668CA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CA" w:rsidRPr="00BD55A2" w:rsidRDefault="004668CA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39" w:rsidRPr="00BD55A2" w:rsidRDefault="00235139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4" w:rsidRPr="00BD55A2" w:rsidRDefault="00F05AD4" w:rsidP="00BD5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EB" w:rsidRPr="00BD55A2" w:rsidRDefault="00796FEB" w:rsidP="00BD5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подпрограмме </w:t>
      </w:r>
    </w:p>
    <w:p w:rsidR="00796FEB" w:rsidRPr="00BD55A2" w:rsidRDefault="00796FEB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EB" w:rsidRPr="00BD55A2" w:rsidRDefault="00796FEB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аварийных многоквартирных домов, жилые помещения собственников в которых подлежат выкупу в связи с принятием решения об изъятии земельного участка и жилых помещений для муниципальных нужд, объемы и источники финансирования </w:t>
      </w:r>
    </w:p>
    <w:p w:rsidR="005477B0" w:rsidRPr="00BD55A2" w:rsidRDefault="005477B0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78"/>
        <w:gridCol w:w="3794"/>
        <w:gridCol w:w="887"/>
        <w:gridCol w:w="1171"/>
        <w:gridCol w:w="1065"/>
        <w:gridCol w:w="1171"/>
        <w:gridCol w:w="899"/>
        <w:gridCol w:w="690"/>
        <w:gridCol w:w="628"/>
        <w:gridCol w:w="887"/>
        <w:gridCol w:w="887"/>
        <w:gridCol w:w="899"/>
        <w:gridCol w:w="1015"/>
        <w:gridCol w:w="1043"/>
      </w:tblGrid>
      <w:tr w:rsidR="003876BE" w:rsidRPr="00BD55A2" w:rsidTr="003876BE">
        <w:trPr>
          <w:trHeight w:val="10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подтверждающего признание дома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аварийным</w:t>
            </w:r>
            <w:proofErr w:type="gram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 об изъятии путем выкупа земельного участка и жилых помещений для муниципальных нужд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сноса или реконструкции МКД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жителей 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жилых помещений, подлежащих выкупу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жилых помещений, подлежащих выкупу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выкупа жилых помещений</w:t>
            </w:r>
          </w:p>
        </w:tc>
      </w:tr>
      <w:tr w:rsidR="003876BE" w:rsidRPr="00BD55A2" w:rsidTr="003876BE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876BE" w:rsidRPr="00BD55A2" w:rsidTr="003876BE">
        <w:trPr>
          <w:trHeight w:val="1068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Фонда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бюджета субъекта РФ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</w:tr>
      <w:tr w:rsidR="003876BE" w:rsidRPr="00BD55A2" w:rsidTr="003876BE">
        <w:trPr>
          <w:trHeight w:val="276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3876BE" w:rsidRPr="00BD55A2" w:rsidTr="003876BE">
        <w:trPr>
          <w:trHeight w:val="13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876BE" w:rsidRPr="00BD55A2" w:rsidTr="003876BE">
        <w:trPr>
          <w:trHeight w:val="66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г. Мурманск в 2014 году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868,4</w:t>
            </w:r>
          </w:p>
        </w:tc>
      </w:tr>
      <w:tr w:rsidR="003876BE" w:rsidRPr="00BD55A2" w:rsidTr="003876BE">
        <w:trPr>
          <w:trHeight w:val="13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Мурманск,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пр-д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Жуковского, д. 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BE" w:rsidRPr="00BD55A2" w:rsidRDefault="003876B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868,4</w:t>
            </w:r>
          </w:p>
        </w:tc>
      </w:tr>
    </w:tbl>
    <w:p w:rsidR="00191015" w:rsidRPr="00BD55A2" w:rsidRDefault="00191015" w:rsidP="00BD55A2">
      <w:pPr>
        <w:shd w:val="clear" w:color="auto" w:fill="FFFFFF" w:themeFill="background1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6FEB" w:rsidRPr="00BD55A2" w:rsidRDefault="00796FEB" w:rsidP="00BD55A2">
      <w:pPr>
        <w:shd w:val="clear" w:color="auto" w:fill="FFFFFF" w:themeFill="background1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  <w:sectPr w:rsidR="00B259E0" w:rsidRPr="00BD55A2" w:rsidSect="00B10814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p w:rsidR="00D070B7" w:rsidRPr="00BD55A2" w:rsidRDefault="00D070B7" w:rsidP="0003310D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070B7" w:rsidRPr="00BD55A2" w:rsidSect="0003310D">
      <w:pgSz w:w="11906" w:h="16838"/>
      <w:pgMar w:top="1134" w:right="851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D1" w:rsidRDefault="00EA2AD1" w:rsidP="00585AFD">
      <w:pPr>
        <w:spacing w:after="0" w:line="240" w:lineRule="auto"/>
      </w:pPr>
      <w:r>
        <w:separator/>
      </w:r>
    </w:p>
  </w:endnote>
  <w:endnote w:type="continuationSeparator" w:id="1">
    <w:p w:rsidR="00EA2AD1" w:rsidRDefault="00EA2AD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D1" w:rsidRDefault="00EA2AD1" w:rsidP="00585AFD">
      <w:pPr>
        <w:spacing w:after="0" w:line="240" w:lineRule="auto"/>
      </w:pPr>
      <w:r>
        <w:separator/>
      </w:r>
    </w:p>
  </w:footnote>
  <w:footnote w:type="continuationSeparator" w:id="1">
    <w:p w:rsidR="00EA2AD1" w:rsidRDefault="00EA2AD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700360144"/>
      <w:showingPlcHdr/>
    </w:sdtPr>
    <w:sdtContent>
      <w:p w:rsidR="00EA2AD1" w:rsidRPr="00235139" w:rsidRDefault="0003310D">
        <w:pPr>
          <w:pStyle w:val="a4"/>
          <w:jc w:val="center"/>
          <w:rPr>
            <w:color w:val="000000" w:themeColor="text1"/>
          </w:rPr>
        </w:pPr>
        <w:r>
          <w:rPr>
            <w:color w:val="000000" w:themeColor="text1"/>
          </w:rPr>
          <w:t xml:space="preserve">     </w:t>
        </w:r>
      </w:p>
    </w:sdtContent>
  </w:sdt>
  <w:p w:rsidR="00EA2AD1" w:rsidRPr="00235139" w:rsidRDefault="00EA2AD1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1" w:rsidRPr="00613CCB" w:rsidRDefault="00EA2AD1">
    <w:pPr>
      <w:pStyle w:val="a4"/>
      <w:jc w:val="center"/>
      <w:rPr>
        <w:color w:val="000000" w:themeColor="text1"/>
      </w:rPr>
    </w:pPr>
  </w:p>
  <w:p w:rsidR="00EA2AD1" w:rsidRDefault="00EA2A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3310D"/>
    <w:rsid w:val="00036392"/>
    <w:rsid w:val="00040AEE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804D1"/>
    <w:rsid w:val="00080706"/>
    <w:rsid w:val="00082041"/>
    <w:rsid w:val="000846A5"/>
    <w:rsid w:val="0008601D"/>
    <w:rsid w:val="000863DA"/>
    <w:rsid w:val="000864AD"/>
    <w:rsid w:val="00090317"/>
    <w:rsid w:val="00090E5C"/>
    <w:rsid w:val="00097A86"/>
    <w:rsid w:val="000A4F51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D88"/>
    <w:rsid w:val="00252367"/>
    <w:rsid w:val="00252749"/>
    <w:rsid w:val="002540D7"/>
    <w:rsid w:val="00255526"/>
    <w:rsid w:val="0025759D"/>
    <w:rsid w:val="0026028F"/>
    <w:rsid w:val="00260C55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C2B99"/>
    <w:rsid w:val="002C3E38"/>
    <w:rsid w:val="002C508F"/>
    <w:rsid w:val="002C7911"/>
    <w:rsid w:val="002D047C"/>
    <w:rsid w:val="002D102B"/>
    <w:rsid w:val="002D313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1E15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A251A"/>
    <w:rsid w:val="004B4AE4"/>
    <w:rsid w:val="004B5341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187A"/>
    <w:rsid w:val="004E21B1"/>
    <w:rsid w:val="004E3FB7"/>
    <w:rsid w:val="004E4EE5"/>
    <w:rsid w:val="004E798C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279F7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7286"/>
    <w:rsid w:val="00716241"/>
    <w:rsid w:val="0072350F"/>
    <w:rsid w:val="0073098D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38E0"/>
    <w:rsid w:val="007B721D"/>
    <w:rsid w:val="007C0780"/>
    <w:rsid w:val="007C0A9A"/>
    <w:rsid w:val="007C24BB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8075A7"/>
    <w:rsid w:val="00811910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6A42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65AA8"/>
    <w:rsid w:val="00970F3B"/>
    <w:rsid w:val="0097351F"/>
    <w:rsid w:val="00973F2B"/>
    <w:rsid w:val="00974B53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2384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3715"/>
    <w:rsid w:val="009E4B42"/>
    <w:rsid w:val="009F1027"/>
    <w:rsid w:val="009F3745"/>
    <w:rsid w:val="00A019EF"/>
    <w:rsid w:val="00A02C06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0478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2F71"/>
    <w:rsid w:val="00BD4986"/>
    <w:rsid w:val="00BD55A2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4156B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2F8C"/>
    <w:rsid w:val="00C94C43"/>
    <w:rsid w:val="00C959ED"/>
    <w:rsid w:val="00CA1054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2BE9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4018"/>
    <w:rsid w:val="00E941C9"/>
    <w:rsid w:val="00E968C0"/>
    <w:rsid w:val="00E97767"/>
    <w:rsid w:val="00E97C10"/>
    <w:rsid w:val="00EA06D6"/>
    <w:rsid w:val="00EA21C4"/>
    <w:rsid w:val="00EA2AD1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5AD4"/>
    <w:rsid w:val="00F07A83"/>
    <w:rsid w:val="00F12A4D"/>
    <w:rsid w:val="00F12CB3"/>
    <w:rsid w:val="00F137E5"/>
    <w:rsid w:val="00F16A3F"/>
    <w:rsid w:val="00F17893"/>
    <w:rsid w:val="00F20DC1"/>
    <w:rsid w:val="00F21F91"/>
    <w:rsid w:val="00F21FC6"/>
    <w:rsid w:val="00F2481C"/>
    <w:rsid w:val="00F25574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05F6"/>
    <w:rsid w:val="00F66B3B"/>
    <w:rsid w:val="00F67357"/>
    <w:rsid w:val="00F74A60"/>
    <w:rsid w:val="00F75830"/>
    <w:rsid w:val="00F811AF"/>
    <w:rsid w:val="00F82A1E"/>
    <w:rsid w:val="00F82A96"/>
    <w:rsid w:val="00F86FD5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CC4A94-8477-4192-9E8C-84696AB2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2017-03-24T09:29:00Z</dcterms:created>
  <dcterms:modified xsi:type="dcterms:W3CDTF">2017-03-24T09:29:00Z</dcterms:modified>
</cp:coreProperties>
</file>