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4" w:rsidRPr="00BB23B2" w:rsidRDefault="00E036D4" w:rsidP="005315BB">
      <w:pPr>
        <w:jc w:val="center"/>
      </w:pPr>
      <w:r w:rsidRPr="00BB23B2">
        <w:rPr>
          <w:lang w:val="en-US"/>
        </w:rPr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:rsidR="009764ED" w:rsidRPr="00BB23B2" w:rsidRDefault="009764ED" w:rsidP="0007423A">
      <w:pPr>
        <w:ind w:left="284"/>
        <w:jc w:val="center"/>
      </w:pPr>
    </w:p>
    <w:p w:rsidR="00E036D4" w:rsidRPr="00BB23B2" w:rsidRDefault="00E036D4" w:rsidP="005315BB">
      <w:pPr>
        <w:jc w:val="center"/>
      </w:pPr>
      <w:r w:rsidRPr="00BB23B2">
        <w:t>Паспорт подпрограммы</w:t>
      </w:r>
    </w:p>
    <w:p w:rsidR="009764ED" w:rsidRPr="00BB23B2" w:rsidRDefault="009764ED" w:rsidP="0007423A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-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 xml:space="preserve">Доля </w:t>
            </w:r>
            <w:r w:rsidR="001E57AA">
              <w:t>общественных территорий</w:t>
            </w:r>
            <w:r w:rsidR="0049173C">
              <w:t>, приведенных в надлежащее санитарное, техническое и эстетическое состояние</w:t>
            </w:r>
            <w:r w:rsidR="00CA0D94">
              <w:t xml:space="preserve"> от запланированного на год объема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F7563A" w:rsidRPr="00BB23B2" w:rsidRDefault="00F7563A" w:rsidP="0046045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460453">
              <w:rPr>
                <w:kern w:val="0"/>
              </w:rPr>
              <w:t>1431247,3</w:t>
            </w:r>
            <w:r w:rsidR="0057074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руб., в т.ч.: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460453">
              <w:t>1431247,3</w:t>
            </w:r>
            <w:r w:rsidR="00BA4B3F" w:rsidRPr="00BB23B2">
              <w:t xml:space="preserve"> </w:t>
            </w:r>
            <w:r w:rsidR="0057074F" w:rsidRPr="00BB23B2">
              <w:t>т</w:t>
            </w:r>
            <w:r w:rsidRPr="00BB23B2">
              <w:rPr>
                <w:kern w:val="0"/>
              </w:rPr>
              <w:t>ыс. руб., из них: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056043" w:rsidRPr="00BB23B2">
              <w:rPr>
                <w:kern w:val="0"/>
              </w:rPr>
              <w:t>362205,9</w:t>
            </w:r>
            <w:r w:rsidR="005C4C4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460453">
              <w:rPr>
                <w:kern w:val="0"/>
              </w:rPr>
              <w:t>260412,7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5C4C42" w:rsidRPr="00BB23B2">
              <w:rPr>
                <w:kern w:val="0"/>
              </w:rPr>
              <w:t>235380,</w:t>
            </w:r>
            <w:r w:rsidR="0057074F" w:rsidRPr="00BB23B2">
              <w:rPr>
                <w:kern w:val="0"/>
              </w:rPr>
              <w:t>2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5C4C42" w:rsidRPr="00BB23B2">
              <w:rPr>
                <w:kern w:val="0"/>
              </w:rPr>
              <w:t>234882,2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114707,3 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110927,3 тыс. руб.;</w:t>
            </w:r>
          </w:p>
          <w:p w:rsidR="00E036D4" w:rsidRPr="00BB23B2" w:rsidRDefault="00F7563A" w:rsidP="00CA0D94">
            <w:pPr>
              <w:ind w:left="33"/>
              <w:jc w:val="both"/>
            </w:pPr>
            <w:r w:rsidRPr="00BB23B2">
              <w:rPr>
                <w:kern w:val="0"/>
              </w:rPr>
              <w:t>2024 год – 112731,6 тыс. руб.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E036D4" w:rsidRPr="00BB23B2" w:rsidRDefault="00334E24" w:rsidP="00CA0D94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="00E036D4" w:rsidRPr="00BB23B2">
              <w:t xml:space="preserve"> </w:t>
            </w:r>
            <w:r w:rsidR="00CA0D94">
              <w:t>от запланированного на год объема</w:t>
            </w:r>
            <w:r w:rsidR="0088602E">
              <w:t>,</w:t>
            </w:r>
            <w:r w:rsidR="00CA0D94">
              <w:t xml:space="preserve"> </w:t>
            </w:r>
            <w:r w:rsidR="00E036D4" w:rsidRPr="00BB23B2">
              <w:t xml:space="preserve">- </w:t>
            </w:r>
            <w:r>
              <w:t>100</w:t>
            </w:r>
            <w:r w:rsidR="00E036D4" w:rsidRPr="00BB23B2">
              <w:t>%</w:t>
            </w:r>
          </w:p>
        </w:tc>
      </w:tr>
    </w:tbl>
    <w:p w:rsidR="005C4C42" w:rsidRPr="00BB23B2" w:rsidRDefault="005C4C42" w:rsidP="0007423A">
      <w:pPr>
        <w:ind w:left="284"/>
        <w:jc w:val="center"/>
      </w:pPr>
    </w:p>
    <w:p w:rsidR="00056043" w:rsidRPr="00BB23B2" w:rsidRDefault="00056043" w:rsidP="0007423A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056043" w:rsidRPr="00BB23B2" w:rsidRDefault="00056043" w:rsidP="0007423A">
      <w:pPr>
        <w:ind w:left="284"/>
        <w:jc w:val="center"/>
      </w:pPr>
    </w:p>
    <w:p w:rsidR="00056043" w:rsidRPr="00BB23B2" w:rsidRDefault="00056043" w:rsidP="0088602E">
      <w:pPr>
        <w:tabs>
          <w:tab w:val="left" w:pos="709"/>
        </w:tabs>
        <w:jc w:val="both"/>
      </w:pPr>
      <w:r w:rsidRPr="00BB23B2">
        <w:tab/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056043" w:rsidRPr="00BB23B2" w:rsidRDefault="00056043" w:rsidP="0088602E">
      <w:pPr>
        <w:tabs>
          <w:tab w:val="left" w:pos="709"/>
        </w:tabs>
        <w:jc w:val="both"/>
      </w:pPr>
      <w:r w:rsidRPr="00BB23B2"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056043" w:rsidRPr="00BB23B2" w:rsidRDefault="00056043" w:rsidP="0088602E">
      <w:pPr>
        <w:tabs>
          <w:tab w:val="left" w:pos="709"/>
        </w:tabs>
        <w:jc w:val="both"/>
      </w:pPr>
      <w:r w:rsidRPr="00BB23B2">
        <w:lastRenderedPageBreak/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средств, в соответствии с приоритетами муниципальной политики в сфере развития городского хозяйства.</w:t>
      </w:r>
    </w:p>
    <w:p w:rsidR="00056043" w:rsidRDefault="00056043" w:rsidP="0088602E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:rsidR="00FC57D9" w:rsidRPr="00FC57D9" w:rsidRDefault="00FC57D9" w:rsidP="0088602E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="000F5FDD"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 w:rsidR="000F5FDD">
        <w:t>5</w:t>
      </w:r>
      <w:r w:rsidRPr="00FC57D9">
        <w:t>-201</w:t>
      </w:r>
      <w:r w:rsidR="000F5FDD">
        <w:t>7</w:t>
      </w:r>
      <w:r w:rsidRPr="00FC57D9">
        <w:t xml:space="preserve"> годы муниципальной программы города Мурманска «Развитие культуры» на </w:t>
      </w:r>
      <w:r w:rsidR="000F5FDD">
        <w:t xml:space="preserve"> </w:t>
      </w:r>
      <w:r w:rsidRPr="00FC57D9">
        <w:t xml:space="preserve">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FC57D9" w:rsidRPr="00BB23B2" w:rsidRDefault="00FC57D9" w:rsidP="0088602E">
      <w:pPr>
        <w:tabs>
          <w:tab w:val="left" w:pos="709"/>
        </w:tabs>
        <w:ind w:firstLine="436"/>
        <w:jc w:val="both"/>
      </w:pPr>
      <w:r w:rsidRPr="00FC57D9">
        <w:t xml:space="preserve">За период с 2014 по 2017 годы </w:t>
      </w:r>
      <w:r w:rsidR="001E57AA">
        <w:t xml:space="preserve">на постоянной основе проводились работы по благоустройству, поддерживающему ремонту и содержанию </w:t>
      </w:r>
      <w:r w:rsidR="006821E7">
        <w:t>общественных территорий</w:t>
      </w:r>
      <w:r w:rsidR="001E57AA">
        <w:t>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:rsidR="00056043" w:rsidRPr="00BB23B2" w:rsidRDefault="00056043" w:rsidP="0007423A">
      <w:pPr>
        <w:ind w:left="284"/>
        <w:jc w:val="center"/>
      </w:pPr>
    </w:p>
    <w:p w:rsidR="00056043" w:rsidRPr="00BB23B2" w:rsidRDefault="00056043" w:rsidP="0007423A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056043" w:rsidRPr="00BB23B2" w:rsidRDefault="00056043" w:rsidP="00056043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056043" w:rsidRPr="00BB23B2" w:rsidTr="0088602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Ед. </w:t>
            </w:r>
            <w:proofErr w:type="spellStart"/>
            <w:r w:rsidRPr="00BB23B2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056043" w:rsidRPr="00BB23B2" w:rsidTr="0088602E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Отчет</w:t>
            </w:r>
            <w:r w:rsidR="0007423A"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056043" w:rsidRPr="00BB23B2" w:rsidTr="0088602E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6043" w:rsidRPr="00BB23B2" w:rsidTr="0088602E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056043" w:rsidRPr="00BB23B2" w:rsidTr="0088602E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43" w:rsidRPr="00BB23B2" w:rsidRDefault="00056043" w:rsidP="0088602E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056043" w:rsidRPr="00BB23B2" w:rsidTr="0088602E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334E24" w:rsidP="001E57AA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CA0D94">
              <w:rPr>
                <w:sz w:val="22"/>
                <w:szCs w:val="22"/>
              </w:rPr>
              <w:t xml:space="preserve"> от </w:t>
            </w:r>
            <w:proofErr w:type="gramStart"/>
            <w:r w:rsidR="00CA0D94">
              <w:rPr>
                <w:sz w:val="22"/>
                <w:szCs w:val="22"/>
              </w:rPr>
              <w:t>запланирован</w:t>
            </w:r>
            <w:r w:rsidR="0088602E">
              <w:rPr>
                <w:sz w:val="22"/>
                <w:szCs w:val="22"/>
              </w:rPr>
              <w:t xml:space="preserve"> </w:t>
            </w:r>
            <w:proofErr w:type="spellStart"/>
            <w:r w:rsidR="00CA0D94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CA0D94">
              <w:rPr>
                <w:sz w:val="22"/>
                <w:szCs w:val="22"/>
              </w:rPr>
              <w:t xml:space="preserve">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:rsidR="00056043" w:rsidRPr="00BB23B2" w:rsidRDefault="00056043" w:rsidP="00FC70AA">
      <w:pPr>
        <w:jc w:val="center"/>
        <w:sectPr w:rsidR="00056043" w:rsidRPr="00BB23B2" w:rsidSect="0088602E">
          <w:headerReference w:type="default" r:id="rId9"/>
          <w:pgSz w:w="11906" w:h="16838"/>
          <w:pgMar w:top="1134" w:right="567" w:bottom="851" w:left="1701" w:header="425" w:footer="709" w:gutter="0"/>
          <w:pgNumType w:start="14"/>
          <w:cols w:space="708"/>
          <w:docGrid w:linePitch="360"/>
        </w:sectPr>
      </w:pPr>
    </w:p>
    <w:p w:rsidR="00E036D4" w:rsidRPr="00BB23B2" w:rsidRDefault="00E036D4" w:rsidP="00BF6E22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E036D4" w:rsidRPr="00BB23B2" w:rsidRDefault="00E036D4" w:rsidP="00E155FA">
      <w:pPr>
        <w:jc w:val="both"/>
      </w:pPr>
    </w:p>
    <w:tbl>
      <w:tblPr>
        <w:tblW w:w="160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69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12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98532A" w:rsidRPr="00BB23B2" w:rsidTr="005315BB">
        <w:trPr>
          <w:trHeight w:val="727"/>
          <w:tblHeader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ind w:left="-4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</w:t>
            </w:r>
            <w:r w:rsidR="00F61C9E" w:rsidRPr="00BB23B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 w:rsidR="0088602E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 w:rsidR="0007423A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85" w:type="dxa"/>
            <w:gridSpan w:val="8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98532A" w:rsidRPr="00BB23B2" w:rsidTr="005315BB">
        <w:trPr>
          <w:trHeight w:val="680"/>
          <w:tblHeader/>
        </w:trPr>
        <w:tc>
          <w:tcPr>
            <w:tcW w:w="555" w:type="dxa"/>
            <w:vMerge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ind w:left="-50" w:right="-57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8532A" w:rsidRPr="00BB23B2" w:rsidTr="005315BB">
        <w:trPr>
          <w:trHeight w:val="341"/>
          <w:tblHeader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E036D4" w:rsidRPr="00BB23B2" w:rsidRDefault="00E036D4" w:rsidP="0088602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F61C9E" w:rsidRPr="00BB23B2" w:rsidTr="005315BB">
        <w:trPr>
          <w:trHeight w:val="341"/>
        </w:trPr>
        <w:tc>
          <w:tcPr>
            <w:tcW w:w="16097" w:type="dxa"/>
            <w:gridSpan w:val="21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2761EA" w:rsidRPr="00BB23B2" w:rsidTr="005315BB">
        <w:trPr>
          <w:trHeight w:val="1236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761EA" w:rsidRPr="00BB23B2" w:rsidRDefault="002761EA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70306B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2761EA" w:rsidRPr="00BB23B2" w:rsidRDefault="002761EA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761EA" w:rsidRPr="004C1E6A" w:rsidRDefault="00460453" w:rsidP="00BA4B3F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1431247,3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61EA" w:rsidRPr="004C1E6A" w:rsidRDefault="002761EA" w:rsidP="00B712D8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61EA" w:rsidRPr="004C1E6A" w:rsidRDefault="00460453" w:rsidP="00B712D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260412,7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761EA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</w:t>
            </w:r>
            <w:r w:rsidR="004649D1" w:rsidRPr="004C1E6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761EA" w:rsidRPr="004C1E6A" w:rsidRDefault="004649D1" w:rsidP="00B712D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</w:t>
            </w:r>
            <w:r w:rsidR="002351A3" w:rsidRPr="004C1E6A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761EA" w:rsidRPr="004C1E6A" w:rsidRDefault="002761EA" w:rsidP="00B712D8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761EA" w:rsidRPr="004C1E6A" w:rsidRDefault="002761EA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761EA" w:rsidRPr="00BB23B2" w:rsidRDefault="002761EA" w:rsidP="00B712D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761EA" w:rsidRPr="00BB23B2" w:rsidRDefault="002761EA" w:rsidP="00334E2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 w:rsidR="00334E24">
              <w:rPr>
                <w:kern w:val="0"/>
                <w:sz w:val="16"/>
                <w:szCs w:val="16"/>
              </w:rPr>
              <w:t>общественных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B712D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B712D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B712D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B712D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761EA" w:rsidRPr="00BB23B2" w:rsidRDefault="007B3E7D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2351A3" w:rsidRPr="00BB23B2" w:rsidTr="005315BB">
        <w:trPr>
          <w:trHeight w:val="841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  <w:r w:rsidR="0091505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351A3" w:rsidRPr="004C1E6A" w:rsidRDefault="00460453" w:rsidP="00BA4B3F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1381609,4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51A3" w:rsidRPr="004C1E6A" w:rsidRDefault="002351A3" w:rsidP="00B712D8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51A3" w:rsidRPr="004C1E6A" w:rsidRDefault="00460453" w:rsidP="00B712D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259254,6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</w:t>
            </w:r>
            <w:r w:rsidR="004649D1" w:rsidRPr="004C1E6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4C1E6A" w:rsidRDefault="004649D1" w:rsidP="00B712D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</w:t>
            </w:r>
            <w:r w:rsidR="002351A3" w:rsidRPr="004C1E6A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351A3" w:rsidRPr="004C1E6A" w:rsidRDefault="002351A3" w:rsidP="00B712D8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:rsidR="002351A3" w:rsidRPr="00BB23B2" w:rsidRDefault="002351A3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2351A3" w:rsidRPr="00BB23B2" w:rsidTr="005315BB">
        <w:trPr>
          <w:trHeight w:val="102"/>
        </w:trPr>
        <w:tc>
          <w:tcPr>
            <w:tcW w:w="555" w:type="dxa"/>
            <w:shd w:val="clear" w:color="auto" w:fill="auto"/>
            <w:noWrap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  <w:r w:rsidR="0091505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2351A3" w:rsidRPr="00BB23B2" w:rsidRDefault="002351A3" w:rsidP="0088602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 w:rsidR="003864CB">
              <w:rPr>
                <w:sz w:val="16"/>
                <w:szCs w:val="16"/>
              </w:rPr>
              <w:t xml:space="preserve"> </w:t>
            </w:r>
            <w:r w:rsidR="003864CB" w:rsidRPr="003864CB">
              <w:rPr>
                <w:sz w:val="16"/>
                <w:szCs w:val="16"/>
              </w:rPr>
              <w:t>(создание искусственного рельефа в рамках выполнения работ по благоустройству объекта «Набережная озер</w:t>
            </w:r>
            <w:r w:rsidR="0088602E">
              <w:rPr>
                <w:sz w:val="16"/>
                <w:szCs w:val="16"/>
              </w:rPr>
              <w:t>о</w:t>
            </w:r>
            <w:r w:rsidR="003864CB" w:rsidRPr="003864CB">
              <w:rPr>
                <w:sz w:val="16"/>
                <w:szCs w:val="16"/>
              </w:rPr>
              <w:t xml:space="preserve"> Семеновское (2 </w:t>
            </w:r>
            <w:r w:rsidR="003864CB" w:rsidRPr="003864CB">
              <w:rPr>
                <w:sz w:val="16"/>
                <w:szCs w:val="16"/>
              </w:rPr>
              <w:lastRenderedPageBreak/>
              <w:t>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351A3" w:rsidRPr="00BB23B2" w:rsidRDefault="003864CB" w:rsidP="00BA4B3F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49637,9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51A3" w:rsidRPr="00BB23B2" w:rsidRDefault="002351A3" w:rsidP="00BA4B3F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</w:t>
            </w:r>
            <w:r w:rsidR="00BA4B3F" w:rsidRPr="00BB23B2">
              <w:rPr>
                <w:bCs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51A3" w:rsidRPr="00BB23B2" w:rsidRDefault="003864CB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2351A3" w:rsidRPr="00BB23B2" w:rsidRDefault="002351A3" w:rsidP="003864CB">
            <w:pPr>
              <w:ind w:left="-52"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 w:rsidR="003864CB">
              <w:rPr>
                <w:sz w:val="16"/>
                <w:szCs w:val="16"/>
              </w:rPr>
              <w:t xml:space="preserve">ы работы </w:t>
            </w:r>
            <w:r w:rsidRPr="00BB23B2">
              <w:rPr>
                <w:sz w:val="16"/>
                <w:szCs w:val="16"/>
              </w:rPr>
              <w:t xml:space="preserve"> </w:t>
            </w:r>
            <w:r w:rsidR="003864CB">
              <w:rPr>
                <w:sz w:val="16"/>
                <w:szCs w:val="16"/>
              </w:rPr>
              <w:t xml:space="preserve">по </w:t>
            </w:r>
            <w:r w:rsidRPr="00BB23B2">
              <w:rPr>
                <w:sz w:val="16"/>
                <w:szCs w:val="16"/>
              </w:rPr>
              <w:t>строительств</w:t>
            </w:r>
            <w:r w:rsidR="003864CB"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(реконструкци</w:t>
            </w:r>
            <w:r w:rsidR="003864CB"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 xml:space="preserve">),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3864CB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2351A3" w:rsidRPr="00BB23B2" w:rsidTr="005315BB">
        <w:trPr>
          <w:trHeight w:val="32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460453" w:rsidP="00BA4B3F">
            <w:pPr>
              <w:ind w:left="-76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1431247,3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2351A3" w:rsidRPr="004C1E6A" w:rsidRDefault="00460453" w:rsidP="00B712D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260412,7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</w:t>
            </w:r>
            <w:r w:rsidR="004649D1" w:rsidRPr="004C1E6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2351A3" w:rsidRPr="004C1E6A" w:rsidRDefault="004649D1" w:rsidP="00B712D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</w:t>
            </w:r>
            <w:r w:rsidR="002351A3" w:rsidRPr="004C1E6A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351A3" w:rsidRPr="00BB23B2" w:rsidTr="005315BB">
        <w:trPr>
          <w:trHeight w:val="325"/>
        </w:trPr>
        <w:tc>
          <w:tcPr>
            <w:tcW w:w="555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4C1E6A" w:rsidRDefault="002351A3" w:rsidP="00E155FA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4C1E6A" w:rsidRDefault="002351A3" w:rsidP="00E155FA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4C1E6A" w:rsidRDefault="002351A3" w:rsidP="00E155FA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351A3" w:rsidRPr="00BB23B2" w:rsidTr="005315BB">
        <w:trPr>
          <w:trHeight w:val="56"/>
        </w:trPr>
        <w:tc>
          <w:tcPr>
            <w:tcW w:w="555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460453" w:rsidP="00BA4B3F">
            <w:pPr>
              <w:ind w:left="-76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1431247,3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2351A3" w:rsidRPr="004C1E6A" w:rsidRDefault="00460453" w:rsidP="00B712D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260412,7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</w:t>
            </w:r>
            <w:r w:rsidR="004649D1" w:rsidRPr="004C1E6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2351A3" w:rsidRPr="004C1E6A" w:rsidRDefault="004649D1" w:rsidP="00B712D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</w:t>
            </w:r>
            <w:r w:rsidR="002351A3" w:rsidRPr="004C1E6A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5A1BC0" w:rsidRPr="00BB23B2" w:rsidRDefault="005A1BC0" w:rsidP="00F61C9E">
      <w:pPr>
        <w:jc w:val="center"/>
      </w:pPr>
    </w:p>
    <w:p w:rsidR="00E036D4" w:rsidRPr="00BB23B2" w:rsidRDefault="00E036D4" w:rsidP="00F61C9E">
      <w:pPr>
        <w:jc w:val="center"/>
      </w:pPr>
      <w:r w:rsidRPr="00BB23B2">
        <w:t>Детализация направлений расходов на 2018-2024 годы</w:t>
      </w:r>
    </w:p>
    <w:p w:rsidR="00E76BBA" w:rsidRPr="00BB23B2" w:rsidRDefault="00E76BBA" w:rsidP="00F61C9E">
      <w:pPr>
        <w:jc w:val="center"/>
      </w:pPr>
    </w:p>
    <w:tbl>
      <w:tblPr>
        <w:tblW w:w="16062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9338ED" w:rsidRPr="00BB23B2" w:rsidTr="005315BB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 w:rsidR="0007423A"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9338ED" w:rsidRPr="00BB23B2" w:rsidTr="005315BB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9338ED" w:rsidRPr="00BB23B2" w:rsidTr="005315BB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FF7C5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2351A3" w:rsidRPr="00BB23B2" w:rsidTr="005315B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460453" w:rsidP="00615E4D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1381609,4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060F2D" w:rsidP="00615E4D">
            <w:pPr>
              <w:ind w:left="-3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460453" w:rsidP="00615E4D">
            <w:pPr>
              <w:ind w:left="-53"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259254,6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615E4D">
            <w:pPr>
              <w:ind w:left="-53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235380,</w:t>
            </w:r>
            <w:r w:rsidR="004649D1" w:rsidRPr="004C1E6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4649D1" w:rsidP="00615E4D">
            <w:pPr>
              <w:ind w:left="-39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23488</w:t>
            </w:r>
            <w:r w:rsidR="002351A3" w:rsidRPr="004C1E6A"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2351A3" w:rsidRPr="00BB23B2" w:rsidTr="005315B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1E5F5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ПСД и проведение ремонтных работ на </w:t>
            </w:r>
            <w:r w:rsidR="001E5F52"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460453" w:rsidP="00615E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52072,7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460453" w:rsidP="00615E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5000,0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2351A3" w:rsidRPr="00BB23B2" w:rsidTr="005315B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077F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07423A" w:rsidRDefault="00460453" w:rsidP="0061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4649D1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460453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198563,7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95383,2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96603,2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98407,5</w:t>
            </w:r>
          </w:p>
        </w:tc>
      </w:tr>
      <w:tr w:rsidR="002351A3" w:rsidRPr="00BB23B2" w:rsidTr="005315B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79324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077F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07423A" w:rsidRDefault="00460453" w:rsidP="0061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460453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</w:tr>
      <w:tr w:rsidR="002351A3" w:rsidRPr="00BB23B2" w:rsidTr="005315B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A3" w:rsidRPr="00BB23B2" w:rsidRDefault="002351A3" w:rsidP="001E5F5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связи на </w:t>
            </w:r>
            <w:r w:rsidR="001E5F52"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077F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</w:tr>
      <w:tr w:rsidR="002351A3" w:rsidRPr="00BB23B2" w:rsidTr="005315B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077F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460453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460453" w:rsidP="00615E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2351A3" w:rsidRPr="00BB23B2" w:rsidTr="005315B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1A31B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1E5F5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 w:rsidR="001E5F52">
              <w:rPr>
                <w:sz w:val="22"/>
                <w:szCs w:val="22"/>
              </w:rPr>
              <w:t xml:space="preserve">общественных </w:t>
            </w:r>
            <w:r w:rsidR="001E5F52">
              <w:rPr>
                <w:sz w:val="22"/>
                <w:szCs w:val="22"/>
              </w:rPr>
              <w:lastRenderedPageBreak/>
              <w:t>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4649D1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615E4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615E4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615E4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4649D1" w:rsidRPr="00BB23B2" w:rsidTr="005315B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9D1" w:rsidRPr="004C1E6A" w:rsidRDefault="004649D1" w:rsidP="001A31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lastRenderedPageBreak/>
              <w:t>1.1.7</w:t>
            </w:r>
            <w:r w:rsidR="0091505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4649D1" w:rsidP="00B712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4649D1" w:rsidP="004649D1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4649D1" w:rsidP="00615E4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4649D1" w:rsidP="00615E4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615E4D" w:rsidP="00615E4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BB23B2" w:rsidRDefault="00615E4D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BB23B2" w:rsidRDefault="00615E4D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D1" w:rsidRPr="00BB23B2" w:rsidRDefault="00615E4D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D1" w:rsidRPr="00BB23B2" w:rsidRDefault="00615E4D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D1" w:rsidRPr="00BB23B2" w:rsidRDefault="00615E4D" w:rsidP="00615E4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E036D4" w:rsidRPr="00BB23B2" w:rsidRDefault="00E036D4" w:rsidP="00E155FA">
      <w:pPr>
        <w:jc w:val="both"/>
        <w:sectPr w:rsidR="00E036D4" w:rsidRPr="00BB23B2" w:rsidSect="003C02F1">
          <w:headerReference w:type="default" r:id="rId10"/>
          <w:pgSz w:w="16839" w:h="11907" w:orient="landscape" w:code="9"/>
          <w:pgMar w:top="1701" w:right="567" w:bottom="567" w:left="1418" w:header="425" w:footer="709" w:gutter="0"/>
          <w:pgNumType w:start="16"/>
          <w:cols w:space="708"/>
          <w:docGrid w:linePitch="381"/>
        </w:sectPr>
      </w:pPr>
      <w:bookmarkStart w:id="0" w:name="_GoBack"/>
      <w:bookmarkEnd w:id="0"/>
    </w:p>
    <w:p w:rsidR="00F306E2" w:rsidRPr="00F306E2" w:rsidRDefault="00F306E2" w:rsidP="002351A3">
      <w:pPr>
        <w:jc w:val="center"/>
        <w:rPr>
          <w:sz w:val="10"/>
          <w:szCs w:val="10"/>
        </w:rPr>
      </w:pPr>
    </w:p>
    <w:p w:rsidR="002351A3" w:rsidRPr="00BB23B2" w:rsidRDefault="002351A3" w:rsidP="002351A3">
      <w:pPr>
        <w:jc w:val="center"/>
      </w:pPr>
      <w:r w:rsidRPr="00BB23B2">
        <w:t>4. Обоснование ресурсного обеспечения подпрограммы</w:t>
      </w:r>
    </w:p>
    <w:p w:rsidR="002351A3" w:rsidRPr="00BB23B2" w:rsidRDefault="002351A3" w:rsidP="002351A3">
      <w:pPr>
        <w:jc w:val="center"/>
      </w:pPr>
    </w:p>
    <w:tbl>
      <w:tblPr>
        <w:tblW w:w="1026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999"/>
        <w:gridCol w:w="1001"/>
        <w:gridCol w:w="1000"/>
        <w:gridCol w:w="1001"/>
        <w:gridCol w:w="1003"/>
        <w:gridCol w:w="999"/>
        <w:gridCol w:w="1003"/>
      </w:tblGrid>
      <w:tr w:rsidR="002351A3" w:rsidRPr="00BB23B2" w:rsidTr="00FF7C54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351A3" w:rsidRPr="00BB23B2" w:rsidTr="00FF7C54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2351A3" w:rsidRPr="00BB23B2" w:rsidTr="00FF7C54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460453" w:rsidP="00615E4D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1431247,3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460453" w:rsidP="00B712D8">
            <w:pPr>
              <w:ind w:left="-53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260412,7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07423A" w:rsidRDefault="002351A3" w:rsidP="00A62C75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</w:t>
            </w:r>
            <w:r w:rsidR="00A62C75" w:rsidRPr="0007423A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07423A" w:rsidRDefault="002351A3" w:rsidP="00A62C75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</w:t>
            </w:r>
            <w:r w:rsidR="00A62C75" w:rsidRPr="0007423A">
              <w:rPr>
                <w:sz w:val="22"/>
                <w:szCs w:val="22"/>
              </w:rPr>
              <w:t>8</w:t>
            </w:r>
            <w:r w:rsidRPr="0007423A">
              <w:rPr>
                <w:sz w:val="22"/>
                <w:szCs w:val="22"/>
              </w:rPr>
              <w:t>2,2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2351A3" w:rsidRPr="00BB23B2" w:rsidTr="00FF7C54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2351A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07423A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07423A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</w:tr>
      <w:tr w:rsidR="002351A3" w:rsidRPr="00BB23B2" w:rsidTr="00FF7C54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460453" w:rsidP="00310CAE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1431247,3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460453" w:rsidP="00B712D8">
            <w:pPr>
              <w:ind w:left="-53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260412,7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07423A" w:rsidRDefault="002351A3" w:rsidP="00A62C75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</w:t>
            </w:r>
            <w:r w:rsidR="00A62C75" w:rsidRPr="0007423A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07423A" w:rsidRDefault="002351A3" w:rsidP="00A62C75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</w:t>
            </w:r>
            <w:r w:rsidR="00A62C75" w:rsidRPr="0007423A">
              <w:rPr>
                <w:sz w:val="22"/>
                <w:szCs w:val="22"/>
              </w:rPr>
              <w:t>8</w:t>
            </w:r>
            <w:r w:rsidRPr="0007423A">
              <w:rPr>
                <w:sz w:val="22"/>
                <w:szCs w:val="22"/>
              </w:rPr>
              <w:t>2,2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</w:tbl>
    <w:p w:rsidR="002351A3" w:rsidRPr="00BB23B2" w:rsidRDefault="002351A3" w:rsidP="002351A3">
      <w:pPr>
        <w:jc w:val="center"/>
      </w:pPr>
    </w:p>
    <w:p w:rsidR="002351A3" w:rsidRPr="00BB23B2" w:rsidRDefault="002351A3" w:rsidP="00FF7C54">
      <w:pPr>
        <w:jc w:val="center"/>
      </w:pPr>
      <w:r w:rsidRPr="00BB23B2">
        <w:t>5. Оценка эффективности подпрограммы, рисков ее реализации</w:t>
      </w:r>
    </w:p>
    <w:p w:rsidR="002351A3" w:rsidRPr="00BB23B2" w:rsidRDefault="002351A3" w:rsidP="00FF7C54">
      <w:pPr>
        <w:jc w:val="center"/>
      </w:pPr>
    </w:p>
    <w:p w:rsidR="002351A3" w:rsidRPr="00BB23B2" w:rsidRDefault="002351A3" w:rsidP="00FF7C54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 w:rsidR="006821E7"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города, повысит уровень комфортности, следовательно, качество жизни населения.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- риск отклонения сроков реализации мероприятий подпрограммы от установленных сроков по вине исполнителя услуг и работ.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2351A3" w:rsidRPr="00BB23B2" w:rsidRDefault="002351A3" w:rsidP="0007423A">
      <w:pPr>
        <w:ind w:left="284"/>
        <w:jc w:val="center"/>
      </w:pPr>
    </w:p>
    <w:p w:rsidR="002351A3" w:rsidRPr="00BB23B2" w:rsidRDefault="002351A3" w:rsidP="00E011D7">
      <w:pPr>
        <w:jc w:val="center"/>
      </w:pPr>
    </w:p>
    <w:p w:rsidR="002351A3" w:rsidRPr="00BB23B2" w:rsidRDefault="002351A3" w:rsidP="00E011D7">
      <w:pPr>
        <w:jc w:val="center"/>
      </w:pPr>
    </w:p>
    <w:sectPr w:rsidR="002351A3" w:rsidRPr="00BB23B2" w:rsidSect="00FF7C54">
      <w:pgSz w:w="11906" w:h="16838"/>
      <w:pgMar w:top="993" w:right="566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E5" w:rsidRDefault="00AF1BE5" w:rsidP="0059150A">
      <w:r>
        <w:separator/>
      </w:r>
    </w:p>
  </w:endnote>
  <w:endnote w:type="continuationSeparator" w:id="0">
    <w:p w:rsidR="00AF1BE5" w:rsidRDefault="00AF1BE5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E5" w:rsidRDefault="00AF1BE5" w:rsidP="0059150A">
      <w:r>
        <w:separator/>
      </w:r>
    </w:p>
  </w:footnote>
  <w:footnote w:type="continuationSeparator" w:id="0">
    <w:p w:rsidR="00AF1BE5" w:rsidRDefault="00AF1BE5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88551"/>
      <w:docPartObj>
        <w:docPartGallery w:val="Page Numbers (Top of Page)"/>
        <w:docPartUnique/>
      </w:docPartObj>
    </w:sdtPr>
    <w:sdtEndPr/>
    <w:sdtContent>
      <w:p w:rsidR="000D0CED" w:rsidRDefault="000D0C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2F1">
          <w:rPr>
            <w:noProof/>
          </w:rPr>
          <w:t>14</w:t>
        </w:r>
        <w:r>
          <w:fldChar w:fldCharType="end"/>
        </w:r>
      </w:p>
    </w:sdtContent>
  </w:sdt>
  <w:p w:rsidR="000D0CED" w:rsidRDefault="000D0C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975976"/>
      <w:docPartObj>
        <w:docPartGallery w:val="Page Numbers (Top of Page)"/>
        <w:docPartUnique/>
      </w:docPartObj>
    </w:sdtPr>
    <w:sdtEndPr/>
    <w:sdtContent>
      <w:p w:rsidR="000D0CED" w:rsidRDefault="000D0C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2F1">
          <w:rPr>
            <w:noProof/>
          </w:rPr>
          <w:t>16</w:t>
        </w:r>
        <w:r>
          <w:fldChar w:fldCharType="end"/>
        </w:r>
      </w:p>
    </w:sdtContent>
  </w:sdt>
  <w:p w:rsidR="005547AF" w:rsidRPr="000D0CED" w:rsidRDefault="005547AF" w:rsidP="000D0C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0CED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5FDD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E57AA"/>
    <w:rsid w:val="001E5F52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10CAE"/>
    <w:rsid w:val="003206EA"/>
    <w:rsid w:val="00330D39"/>
    <w:rsid w:val="0033136B"/>
    <w:rsid w:val="0033164F"/>
    <w:rsid w:val="00332783"/>
    <w:rsid w:val="00334D57"/>
    <w:rsid w:val="00334E24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864CB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02F1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20A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0453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173C"/>
    <w:rsid w:val="004931FE"/>
    <w:rsid w:val="004941D6"/>
    <w:rsid w:val="00496B4A"/>
    <w:rsid w:val="004A0E2E"/>
    <w:rsid w:val="004A18B6"/>
    <w:rsid w:val="004B016B"/>
    <w:rsid w:val="004B148C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15BB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1F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455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5E4D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21E7"/>
    <w:rsid w:val="00683198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24A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15ACF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34DD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3E7D"/>
    <w:rsid w:val="007B44A7"/>
    <w:rsid w:val="007B5880"/>
    <w:rsid w:val="007C07EB"/>
    <w:rsid w:val="007C112A"/>
    <w:rsid w:val="007C152F"/>
    <w:rsid w:val="007C247F"/>
    <w:rsid w:val="007C3132"/>
    <w:rsid w:val="007C32DC"/>
    <w:rsid w:val="007C6585"/>
    <w:rsid w:val="007D0858"/>
    <w:rsid w:val="007D1AC4"/>
    <w:rsid w:val="007D440F"/>
    <w:rsid w:val="007E3A57"/>
    <w:rsid w:val="007E518E"/>
    <w:rsid w:val="007F0207"/>
    <w:rsid w:val="007F255D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5849"/>
    <w:rsid w:val="00816924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2F6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02E"/>
    <w:rsid w:val="00886E20"/>
    <w:rsid w:val="0089008F"/>
    <w:rsid w:val="008907C7"/>
    <w:rsid w:val="00892009"/>
    <w:rsid w:val="00895C03"/>
    <w:rsid w:val="008A1796"/>
    <w:rsid w:val="008A43AA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568D6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F31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3B5A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4A8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52A1"/>
    <w:rsid w:val="00AD6DB4"/>
    <w:rsid w:val="00AE135B"/>
    <w:rsid w:val="00AE1473"/>
    <w:rsid w:val="00AE40CA"/>
    <w:rsid w:val="00AF1BE5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3CA4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0A0F"/>
    <w:rsid w:val="00C62FCE"/>
    <w:rsid w:val="00C67509"/>
    <w:rsid w:val="00C801E5"/>
    <w:rsid w:val="00C80BF7"/>
    <w:rsid w:val="00C81EE7"/>
    <w:rsid w:val="00C84A4F"/>
    <w:rsid w:val="00C863C5"/>
    <w:rsid w:val="00C92345"/>
    <w:rsid w:val="00C9301E"/>
    <w:rsid w:val="00C931F7"/>
    <w:rsid w:val="00C94FFD"/>
    <w:rsid w:val="00CA00C0"/>
    <w:rsid w:val="00CA0D94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76D69"/>
    <w:rsid w:val="00D804C4"/>
    <w:rsid w:val="00D816AE"/>
    <w:rsid w:val="00D84873"/>
    <w:rsid w:val="00D84C6B"/>
    <w:rsid w:val="00D856B5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4533"/>
    <w:rsid w:val="00DC6E3D"/>
    <w:rsid w:val="00DC73E7"/>
    <w:rsid w:val="00DD2D7D"/>
    <w:rsid w:val="00DD78C5"/>
    <w:rsid w:val="00DE3BA3"/>
    <w:rsid w:val="00DF3240"/>
    <w:rsid w:val="00DF351C"/>
    <w:rsid w:val="00DF4EC0"/>
    <w:rsid w:val="00E00671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C2E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1DF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06E2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63E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86C66"/>
    <w:rsid w:val="00F9066A"/>
    <w:rsid w:val="00F91983"/>
    <w:rsid w:val="00F91E3F"/>
    <w:rsid w:val="00F9514B"/>
    <w:rsid w:val="00F95B34"/>
    <w:rsid w:val="00FA046E"/>
    <w:rsid w:val="00FA57DB"/>
    <w:rsid w:val="00FA59F4"/>
    <w:rsid w:val="00FA62AE"/>
    <w:rsid w:val="00FA7204"/>
    <w:rsid w:val="00FB0FFB"/>
    <w:rsid w:val="00FB6EE4"/>
    <w:rsid w:val="00FC0795"/>
    <w:rsid w:val="00FC0B53"/>
    <w:rsid w:val="00FC57D9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0F2D"/>
    <w:rsid w:val="00FF4B7D"/>
    <w:rsid w:val="00FF5266"/>
    <w:rsid w:val="00FF5844"/>
    <w:rsid w:val="00FF741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A33A-A436-4416-AAD6-EF229A47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22</cp:revision>
  <cp:lastPrinted>2019-09-05T07:13:00Z</cp:lastPrinted>
  <dcterms:created xsi:type="dcterms:W3CDTF">2019-05-30T13:40:00Z</dcterms:created>
  <dcterms:modified xsi:type="dcterms:W3CDTF">2019-11-19T07:52:00Z</dcterms:modified>
</cp:coreProperties>
</file>