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22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2644842</wp:posOffset>
            </wp:positionH>
            <wp:positionV relativeFrom="paragraph">
              <wp:posOffset>-277328</wp:posOffset>
            </wp:positionV>
            <wp:extent cx="637272" cy="715545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Pr="00251228" w:rsidRDefault="00251228" w:rsidP="002512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251228" w:rsidRPr="00251228" w:rsidRDefault="00251228" w:rsidP="0025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1228" w:rsidRPr="00251228" w:rsidRDefault="00251228" w:rsidP="002512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251228" w:rsidRPr="006C713C" w:rsidRDefault="00251228" w:rsidP="0025122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1228" w:rsidRPr="006C713C" w:rsidRDefault="00251228" w:rsidP="0025122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1228" w:rsidRDefault="003F48EB" w:rsidP="0025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</w:t>
      </w:r>
      <w:r w:rsidR="00251228" w:rsidRPr="002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4092</w:t>
      </w:r>
    </w:p>
    <w:p w:rsidR="003F48EB" w:rsidRPr="006C713C" w:rsidRDefault="003F48EB" w:rsidP="0025122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d w:val="1461541337"/>
        <w:placeholder>
          <w:docPart w:val="61E6FBBD346C443B9619631CA0F1C69B"/>
        </w:placeholder>
      </w:sdtPr>
      <w:sdtContent>
        <w:p w:rsidR="00F65110" w:rsidRDefault="00F65110" w:rsidP="00F65110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 w:rsidRPr="0025122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Об утверждении Положения о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</w:t>
          </w:r>
          <w:r w:rsidRPr="0025122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br/>
            <w:t>розничная продажа алкогольной продукции и розничная продажа алкогольной продукции при оказании услуг общественного питания</w:t>
          </w:r>
          <w:r w:rsidRPr="0025122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br/>
            <w:t>на территории муниципального образования город Мурманск</w:t>
          </w:r>
        </w:p>
      </w:sdtContent>
    </w:sdt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22.11.1995 № 171-ФЗ</w:t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государственном регулировании производства и оборота этилового</w:t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спирта, алкогольной и спиртосодержащей продукции и об ограничении потребления (распития) алкогольной продукции», Федеральным законом</w:t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руководствуясь </w:t>
      </w:r>
      <w:hyperlink r:id="rId8" w:history="1">
        <w:r w:rsidRPr="002512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городской округ город-герой Мурманск, </w:t>
      </w:r>
      <w:r w:rsidRPr="005E5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28" w:rsidRPr="00251228" w:rsidRDefault="00251228" w:rsidP="002512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Мурманск, согласно приложению к настоящему постановлению.</w:t>
      </w:r>
    </w:p>
    <w:p w:rsidR="00251228" w:rsidRPr="00251228" w:rsidRDefault="00251228" w:rsidP="002512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28" w:rsidRPr="00251228" w:rsidRDefault="00251228" w:rsidP="00251228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51228" w:rsidRPr="00251228" w:rsidRDefault="00251228" w:rsidP="000F62F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Редакции газеты «Вечерний Мурманск» (Хабаров В.А.) опубликовать </w:t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настоящее постановление с приложением.</w:t>
      </w: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228" w:rsidRPr="00251228" w:rsidRDefault="00251228" w:rsidP="0025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Контроль за выполнением настоящего постановления возложить</w:t>
      </w:r>
      <w:r w:rsidR="005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заместителя главы администрации города Мурманска Синякаева Р.Р.</w:t>
      </w:r>
    </w:p>
    <w:p w:rsidR="00251228" w:rsidRDefault="00251228" w:rsidP="0025122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F48EB" w:rsidRDefault="003F48EB" w:rsidP="0025122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F48EB" w:rsidRPr="00FD3B16" w:rsidRDefault="003F48EB" w:rsidP="0025122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1228" w:rsidRPr="00251228" w:rsidRDefault="00251228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251228" w:rsidRPr="00251228" w:rsidRDefault="00251228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Мурманска                                 </w:t>
      </w:r>
      <w:r w:rsidR="005E5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2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Ю.В. Сердечкин</w:t>
      </w:r>
    </w:p>
    <w:p w:rsidR="00251228" w:rsidRDefault="0025122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FE1660" w:rsidRPr="00FE1660" w:rsidRDefault="00FE1660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FE1660" w:rsidRPr="00FE1660" w:rsidRDefault="00FE1660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E1660" w:rsidRPr="00FE1660" w:rsidRDefault="00FE1660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Мурманска</w:t>
      </w:r>
    </w:p>
    <w:p w:rsidR="00FE1660" w:rsidRPr="00FE1660" w:rsidRDefault="00FE1660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3F48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14.12.2022</w:t>
      </w:r>
      <w:r w:rsidR="001B7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F48EB">
        <w:rPr>
          <w:rFonts w:ascii="Times New Roman" w:eastAsia="Times New Roman" w:hAnsi="Times New Roman" w:cs="Times New Roman"/>
          <w:sz w:val="28"/>
          <w:szCs w:val="20"/>
          <w:lang w:eastAsia="ru-RU"/>
        </w:rPr>
        <w:t>4092</w:t>
      </w:r>
    </w:p>
    <w:p w:rsidR="00FE1660" w:rsidRDefault="00FE1660" w:rsidP="00481EA0">
      <w:pPr>
        <w:spacing w:after="0"/>
        <w:jc w:val="right"/>
      </w:pPr>
    </w:p>
    <w:p w:rsidR="003F48EB" w:rsidRDefault="003F48EB" w:rsidP="00481EA0">
      <w:pPr>
        <w:spacing w:after="0"/>
        <w:jc w:val="right"/>
      </w:pPr>
    </w:p>
    <w:p w:rsidR="00F64208" w:rsidRDefault="00911EB9" w:rsidP="0041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FE1660" w:rsidRPr="00FE1660" w:rsidRDefault="00911EB9" w:rsidP="0041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481E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специальной </w:t>
      </w:r>
      <w:r w:rsidR="00F64208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FE1660"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</w:t>
      </w:r>
      <w:r w:rsidR="00F642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DE4" w:rsidRP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оценке рисков, связанных с принятием муниципального правового акта</w:t>
      </w:r>
      <w:r w:rsidR="00D55E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81E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определяющ</w:t>
      </w:r>
      <w:r w:rsidR="00D55EB7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481E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границы прилегающих территорий, на которых</w:t>
      </w:r>
      <w:r w:rsidR="00D5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EA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розничная продажа алкогольной продукции и розничная продажа алкогольной продукции при оказании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81EA0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 общественного питания на территории муниципального образования город Мурманск</w:t>
      </w:r>
    </w:p>
    <w:p w:rsidR="00513081" w:rsidRDefault="00513081" w:rsidP="005130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A7A" w:rsidRDefault="0060364B" w:rsidP="0051308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60364B" w:rsidRDefault="0060364B" w:rsidP="00A936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58D" w:rsidRPr="004504ED" w:rsidRDefault="004652D3" w:rsidP="00B64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Специальная комиссия </w:t>
      </w:r>
      <w:r w:rsidR="00322DE4" w:rsidRP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оценке рисков, связанных с принятием муниципального правового акта</w:t>
      </w:r>
      <w:r w:rsidR="004504ED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определяющего границы прилегающих территорий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которых</w:t>
      </w:r>
      <w:r w:rsid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</w:t>
      </w:r>
      <w:r w:rsid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питания</w:t>
      </w:r>
      <w:r w:rsid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город Мурманск</w:t>
      </w:r>
      <w:r w:rsidR="00014CD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Специальная комиссия), является </w:t>
      </w:r>
      <w:r w:rsidR="00C05EC8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постоянно действующим коллегиальным </w:t>
      </w:r>
      <w:r w:rsidR="00014CD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органом</w:t>
      </w:r>
      <w:r w:rsidR="00C05EC8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администрации города Мурманска</w:t>
      </w:r>
      <w:r w:rsidR="00014CD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деятельность которого направлена </w:t>
      </w:r>
      <w:r w:rsidR="00F9058D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разработку необходимых мер в сфере регулирования оборота алкогольной и спиртосодержащей продукции, </w:t>
      </w:r>
      <w:r w:rsidR="00014CD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комплексное</w:t>
      </w:r>
      <w:r w:rsid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14CD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и компетентное рассмотрение вопросов в целях оценки рисков, связанных</w:t>
      </w:r>
      <w:r w:rsid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14CD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F9058D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принятием нормативно-правовых актов по определению границ прилегающих территорий, на которых не допускается розничная продажа алкогольной продукции</w:t>
      </w:r>
      <w:r w:rsid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58D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розничная продажа алкогольной продукции при оказании услуг общественного питания на территории муниципального образования город Мурманск.</w:t>
      </w:r>
    </w:p>
    <w:p w:rsidR="00C05EC8" w:rsidRPr="004504ED" w:rsidRDefault="00C05EC8" w:rsidP="00B64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2C707E">
        <w:rPr>
          <w:rFonts w:ascii="Times New Roman" w:hAnsi="Times New Roman"/>
          <w:sz w:val="28"/>
          <w:szCs w:val="28"/>
        </w:rPr>
        <w:t xml:space="preserve">Состав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</w:t>
      </w:r>
      <w:r w:rsidR="002C707E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2C707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утверждается постановлением администрации города Мурманска.</w:t>
      </w:r>
    </w:p>
    <w:p w:rsidR="00FE5C14" w:rsidRPr="00FE1660" w:rsidRDefault="00F9058D" w:rsidP="00FE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05EC8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Специальная комиссия в своей деятельности руководствуется федеральным законодательством</w:t>
      </w:r>
      <w:r w:rsidR="00C05EC8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постановлениями и распоряжениями Правительства Российской Федерации,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законодательством Мурманской области, </w:t>
      </w:r>
      <w:r w:rsidR="00C05EC8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постановлениями и распоряжениями Правительства Мурманской области</w:t>
      </w:r>
      <w:r w:rsidR="002512A5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нормативными правовыми актами администрации города Мурманска,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Положением</w:t>
      </w:r>
      <w:r w:rsidR="00FE5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специальной к</w:t>
      </w:r>
      <w:r w:rsidR="00FE5C14" w:rsidRPr="00FE1660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омиссии</w:t>
      </w:r>
      <w:r w:rsidR="00FE5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C14" w:rsidRP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оценке рисков, связанных</w:t>
      </w:r>
      <w:r w:rsidR="00FE5C1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E5C14" w:rsidRPr="00322DE4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принятием муниципального правового акта</w:t>
      </w:r>
      <w:r w:rsidR="00FE5C14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</w:t>
      </w:r>
      <w:r w:rsidR="00DC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Положение)</w:t>
      </w:r>
      <w:r w:rsidR="00FE5C1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364B" w:rsidRPr="004504ED" w:rsidRDefault="0060364B" w:rsidP="0060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Задачи Специальной комиссии</w:t>
      </w:r>
    </w:p>
    <w:p w:rsidR="0060364B" w:rsidRPr="004504ED" w:rsidRDefault="0060364B" w:rsidP="0060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64B" w:rsidRPr="004504ED" w:rsidRDefault="0060364B" w:rsidP="00B6428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Специальной комиссии являются:</w:t>
      </w:r>
    </w:p>
    <w:p w:rsidR="0060364B" w:rsidRPr="004504ED" w:rsidRDefault="002512A5" w:rsidP="00B64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ценка рисков, связанных с принятием муниципальн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а, определяющего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границы прилегающих территорий, на которых</w:t>
      </w:r>
      <w:r w:rsidR="00B642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B7F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город Мурманск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364B" w:rsidRPr="004504ED" w:rsidRDefault="002512A5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2.2.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Принятие решения об одобрении проекта 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а, 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пределяющ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границы прилегающих территорий, на которых</w:t>
      </w:r>
      <w:r w:rsidR="00DC2B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C2B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муниципального образования город Мурманск,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об отказе</w:t>
      </w:r>
      <w:r w:rsidR="00DC2BE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его одобрении</w:t>
      </w:r>
      <w:r w:rsidR="0060364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364B" w:rsidRPr="004504ED" w:rsidRDefault="0060364B" w:rsidP="0060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64B" w:rsidRPr="004504ED" w:rsidRDefault="0060364B" w:rsidP="0060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3. Функции Специальной комиссии</w:t>
      </w:r>
    </w:p>
    <w:p w:rsidR="0060364B" w:rsidRPr="004504ED" w:rsidRDefault="0060364B" w:rsidP="0060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64B" w:rsidRPr="004504ED" w:rsidRDefault="00585220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Специальная комиссия в целях реализации возложенных на неё задач осуществляет следующие функции:</w:t>
      </w:r>
    </w:p>
    <w:p w:rsidR="00585220" w:rsidRPr="004504ED" w:rsidRDefault="00585220" w:rsidP="00D3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Участвует в рассмотрении проектов муниципальных правовых актов администрации города Мурманска, в соответствии с которыми планируется первоначальное установление, </w:t>
      </w:r>
      <w:r w:rsidR="00430E0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увеличение</w:t>
      </w:r>
      <w:r w:rsidR="00430E0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30E0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уменьшение</w:t>
      </w:r>
      <w:r w:rsidR="00DC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0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отмена ранее установленных границ прилегающих территорий</w:t>
      </w:r>
      <w:r w:rsidR="00D357ED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DC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57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муниципального образования город Мурманск.</w:t>
      </w:r>
    </w:p>
    <w:p w:rsidR="00585220" w:rsidRPr="004504ED" w:rsidRDefault="00585220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3.2.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Рассматривает заключения органов государственной власти Мурманской области, осуществляющих регулирование в сферах торговой деятельности, культуры, образования и охраны здоровья, Уполномоченного</w:t>
      </w:r>
      <w:r w:rsidR="004B7F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защите прав предпринимателей Мурманской области, а также замечания</w:t>
      </w:r>
      <w:r w:rsidR="004B7F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предложения на проекты муниципальных правовых актов администрации города Мурманска,</w:t>
      </w:r>
      <w:r w:rsidR="00430E00" w:rsidRPr="00430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30E0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определяющ</w:t>
      </w:r>
      <w:r w:rsidR="00430E00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="00430E0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границы прилегающих территорий,</w:t>
      </w:r>
      <w:r w:rsidR="002C70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30E0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которых не допускается розничная продажа алкогольной продукции</w:t>
      </w:r>
      <w:r w:rsidR="002C70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30E0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розничная продажа алкогольной продукции при оказании услуг общественного питания на территории муниципального образования город Мурманск</w:t>
      </w:r>
      <w:r w:rsidR="00430E0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представленные членами Специальной комиссии, заинтересованными организациями и гражданами.</w:t>
      </w:r>
    </w:p>
    <w:p w:rsidR="00585220" w:rsidRPr="004504ED" w:rsidRDefault="00585220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3.3.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Выносит заключение об одобрении проекта муниципального правового акта либо об отказе в его одобрении</w:t>
      </w:r>
      <w:r w:rsidR="00834261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форме согласно приложению к настоящему Положению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85220" w:rsidRDefault="006C623B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3.4.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 иные полномочия.</w:t>
      </w:r>
    </w:p>
    <w:p w:rsidR="00107D48" w:rsidRDefault="00107D48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D48" w:rsidRDefault="00107D48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D48" w:rsidRPr="004504ED" w:rsidRDefault="00107D48" w:rsidP="00B64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C85" w:rsidRPr="004504ED" w:rsidRDefault="00117C85" w:rsidP="00117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</w:t>
      </w:r>
      <w:r w:rsidR="00C510C5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и ф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ункции членов Специальной комиссии</w:t>
      </w:r>
    </w:p>
    <w:p w:rsidR="00117C85" w:rsidRPr="004504ED" w:rsidRDefault="00117C85" w:rsidP="0060364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C85" w:rsidRPr="00B14D69" w:rsidRDefault="00117C85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Специальная комиссия формируется в составе председателя Специальной комиссии, возглавляющего её работу, заместителя председателя Специальной комиссии, секретаря Специальной комиссии, членов Специальной комиссии.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07E" w:rsidRPr="002C707E">
        <w:rPr>
          <w:rFonts w:ascii="Times New Roman" w:hAnsi="Times New Roman" w:cs="Times New Roman"/>
          <w:sz w:val="28"/>
          <w:szCs w:val="28"/>
        </w:rPr>
        <w:t>В</w:t>
      </w:r>
      <w:r w:rsidR="00B14D69" w:rsidRPr="002C707E">
        <w:rPr>
          <w:rFonts w:ascii="Times New Roman" w:hAnsi="Times New Roman" w:cs="Times New Roman"/>
          <w:sz w:val="28"/>
          <w:szCs w:val="28"/>
        </w:rPr>
        <w:t xml:space="preserve"> </w:t>
      </w:r>
      <w:r w:rsidR="00B14D69" w:rsidRPr="00B14D69">
        <w:rPr>
          <w:rFonts w:ascii="Times New Roman" w:hAnsi="Times New Roman" w:cs="Times New Roman"/>
          <w:sz w:val="28"/>
          <w:szCs w:val="28"/>
        </w:rPr>
        <w:t xml:space="preserve">период отсутствия председателя </w:t>
      </w:r>
      <w:r w:rsidR="0040615F">
        <w:rPr>
          <w:rFonts w:ascii="Times New Roman" w:hAnsi="Times New Roman" w:cs="Times New Roman"/>
          <w:sz w:val="28"/>
          <w:szCs w:val="28"/>
        </w:rPr>
        <w:t xml:space="preserve">Специальной комиссии </w:t>
      </w:r>
      <w:r w:rsidR="00B14D69" w:rsidRPr="00B14D69">
        <w:rPr>
          <w:rFonts w:ascii="Times New Roman" w:hAnsi="Times New Roman" w:cs="Times New Roman"/>
          <w:sz w:val="28"/>
          <w:szCs w:val="28"/>
        </w:rPr>
        <w:t>его полномочия исполняет заместитель председателя</w:t>
      </w:r>
      <w:r w:rsidR="0096225B">
        <w:rPr>
          <w:rFonts w:ascii="Times New Roman" w:hAnsi="Times New Roman" w:cs="Times New Roman"/>
          <w:sz w:val="28"/>
          <w:szCs w:val="28"/>
        </w:rPr>
        <w:t xml:space="preserve"> Специальной комиссии</w:t>
      </w:r>
      <w:r w:rsidR="00B14D69" w:rsidRPr="00B14D69">
        <w:rPr>
          <w:rFonts w:ascii="Times New Roman" w:hAnsi="Times New Roman" w:cs="Times New Roman"/>
          <w:sz w:val="28"/>
          <w:szCs w:val="28"/>
        </w:rPr>
        <w:t>.</w:t>
      </w:r>
    </w:p>
    <w:p w:rsidR="00C510C5" w:rsidRPr="004504ED" w:rsidRDefault="00C510C5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4.2.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состав Специальной комиссии включаются представители органов местного самоуправления, </w:t>
      </w:r>
      <w:r w:rsidR="00435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заинтересованные физические лица, проживающие на территории города Мурманска,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представители организаций культуры, образования, охраны здоровья, расположенных на территории муниципального образования город Мурманск, индивидуальных предпринимателей</w:t>
      </w:r>
      <w:r w:rsidR="0043532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и юридических лиц, осуществляющих торговую деятельность на территории муниципального образования город Мурманск, представители некоммерческих организаций, объединяющих хозяйствующих субъектов, осуществляющих торговую деятельность.</w:t>
      </w:r>
    </w:p>
    <w:p w:rsidR="00CF2AB3" w:rsidRPr="004504ED" w:rsidRDefault="00CF2AB3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4.3.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членов Специальной комиссии должно быть </w:t>
      </w:r>
      <w:r w:rsidR="00FE5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менее</w:t>
      </w:r>
      <w:r w:rsidR="00B642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642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человек.</w:t>
      </w:r>
    </w:p>
    <w:p w:rsidR="004B5DAA" w:rsidRPr="004504ED" w:rsidRDefault="004B5DAA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4.4.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Специальной комиссии считается правомочным, если</w:t>
      </w:r>
      <w:r w:rsidR="004B7F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нём присутствует не менее 2/3 её членов.</w:t>
      </w:r>
    </w:p>
    <w:p w:rsidR="00117C85" w:rsidRPr="004504ED" w:rsidRDefault="00117C85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B5DAA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Специальной комиссии:</w:t>
      </w:r>
    </w:p>
    <w:p w:rsidR="00117C85" w:rsidRPr="004504ED" w:rsidRDefault="00117C85" w:rsidP="00B14D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 общее руководство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Специальной комиссией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организацию деятельности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Специальной комисси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F2AB3" w:rsidRPr="004504ED" w:rsidRDefault="00CF2AB3" w:rsidP="00110E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 время и место проведения заседаний Специальной комиссии;</w:t>
      </w:r>
    </w:p>
    <w:p w:rsidR="00117C85" w:rsidRPr="004504ED" w:rsidRDefault="00117C85" w:rsidP="00B6428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утверждает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повестку дня заседания Специальной комиссии;</w:t>
      </w:r>
    </w:p>
    <w:p w:rsidR="00CF2AB3" w:rsidRPr="004504ED" w:rsidRDefault="00B14D69" w:rsidP="00B6428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CF2AB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ведёт заседания Специальной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7C85" w:rsidRPr="004504ED" w:rsidRDefault="00117C85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 Секретарь Специальной комиссии:</w:t>
      </w:r>
    </w:p>
    <w:p w:rsidR="00D051B8" w:rsidRDefault="00117C85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 информационно-организационные мероприятия</w:t>
      </w:r>
      <w:r w:rsidR="004B7F80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подготовке и проведению заседаний Специальной комиссии</w:t>
      </w:r>
      <w:r w:rsidR="00D051B8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14D69" w:rsidRDefault="00B14D69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B14D69">
        <w:rPr>
          <w:rFonts w:ascii="Times New Roman" w:hAnsi="Times New Roman" w:cs="Times New Roman"/>
          <w:sz w:val="28"/>
          <w:szCs w:val="28"/>
        </w:rPr>
        <w:t xml:space="preserve">формирует материалы для рассмотрения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B14D69">
        <w:rPr>
          <w:rFonts w:ascii="Times New Roman" w:hAnsi="Times New Roman" w:cs="Times New Roman"/>
          <w:sz w:val="28"/>
          <w:szCs w:val="28"/>
        </w:rPr>
        <w:t xml:space="preserve">комиссии и готовит повестку заседания </w:t>
      </w:r>
      <w:r w:rsidR="0040615F">
        <w:rPr>
          <w:rFonts w:ascii="Times New Roman" w:hAnsi="Times New Roman" w:cs="Times New Roman"/>
          <w:sz w:val="28"/>
          <w:szCs w:val="28"/>
        </w:rPr>
        <w:t>Специальной</w:t>
      </w:r>
      <w:r w:rsidR="0040615F" w:rsidRPr="00B14D69">
        <w:rPr>
          <w:rFonts w:ascii="Times New Roman" w:hAnsi="Times New Roman" w:cs="Times New Roman"/>
          <w:sz w:val="28"/>
          <w:szCs w:val="28"/>
        </w:rPr>
        <w:t xml:space="preserve"> </w:t>
      </w:r>
      <w:r w:rsidRPr="00B14D69">
        <w:rPr>
          <w:rFonts w:ascii="Times New Roman" w:hAnsi="Times New Roman" w:cs="Times New Roman"/>
          <w:sz w:val="28"/>
          <w:szCs w:val="28"/>
        </w:rPr>
        <w:t xml:space="preserve">комиссии для утверждения </w:t>
      </w:r>
      <w:r w:rsidR="0096225B">
        <w:rPr>
          <w:rFonts w:ascii="Times New Roman" w:hAnsi="Times New Roman" w:cs="Times New Roman"/>
          <w:sz w:val="28"/>
          <w:szCs w:val="28"/>
        </w:rPr>
        <w:t xml:space="preserve">её </w:t>
      </w:r>
      <w:r w:rsidRPr="00B14D69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DAA" w:rsidRDefault="004B5DAA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информирует членов Специальной комиссии о 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дате, времени, месте</w:t>
      </w:r>
      <w:r w:rsidR="0043532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повестке заседания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позднее чем за </w:t>
      </w:r>
      <w:r w:rsidR="00962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дня до его проведения;</w:t>
      </w:r>
    </w:p>
    <w:p w:rsidR="00B14D69" w:rsidRPr="004504ED" w:rsidRDefault="00B14D69" w:rsidP="00B14D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ведёт протоколы заседаний Специальной комиссии;</w:t>
      </w:r>
    </w:p>
    <w:p w:rsidR="00D051B8" w:rsidRPr="004504ED" w:rsidRDefault="00D051B8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 хранение документации, связанной с деятельностью Специальной комиссии;</w:t>
      </w:r>
    </w:p>
    <w:p w:rsidR="00117C85" w:rsidRPr="004504ED" w:rsidRDefault="00D051B8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выполняет по поручению председателя </w:t>
      </w:r>
      <w:r w:rsidR="0096225B"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="0096225B">
        <w:rPr>
          <w:rFonts w:ascii="Times New Roman" w:hAnsi="Times New Roman" w:cs="Times New Roman"/>
          <w:sz w:val="28"/>
          <w:szCs w:val="28"/>
        </w:rPr>
        <w:br/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заместителя председателя Специальной комиссии иные необходимые организационные мероприятия, обеспечивающие деятельность Специальной комиссии. </w:t>
      </w:r>
      <w:r w:rsidR="00117C85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051B8" w:rsidRPr="00381AA0" w:rsidRDefault="00D051B8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4D69" w:rsidRPr="00381A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544BE2" w:rsidRPr="00381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Специальной комиссии:</w:t>
      </w:r>
    </w:p>
    <w:p w:rsidR="00381AA0" w:rsidRDefault="00381AA0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A0">
        <w:rPr>
          <w:rFonts w:ascii="Times New Roman" w:hAnsi="Times New Roman" w:cs="Times New Roman"/>
          <w:sz w:val="28"/>
          <w:szCs w:val="28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381AA0">
        <w:rPr>
          <w:rFonts w:ascii="Times New Roman" w:hAnsi="Times New Roman" w:cs="Times New Roman"/>
          <w:sz w:val="28"/>
          <w:szCs w:val="28"/>
        </w:rPr>
        <w:t xml:space="preserve">вносят предложения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Pr="00381AA0">
        <w:rPr>
          <w:rFonts w:ascii="Times New Roman" w:hAnsi="Times New Roman" w:cs="Times New Roman"/>
          <w:sz w:val="28"/>
          <w:szCs w:val="28"/>
        </w:rPr>
        <w:t>;</w:t>
      </w:r>
    </w:p>
    <w:p w:rsidR="00381AA0" w:rsidRDefault="002C707E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C70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="00381AA0" w:rsidRPr="00381AA0">
        <w:rPr>
          <w:rFonts w:ascii="Times New Roman" w:hAnsi="Times New Roman" w:cs="Times New Roman"/>
          <w:sz w:val="28"/>
          <w:szCs w:val="28"/>
        </w:rPr>
        <w:t xml:space="preserve">накомятся с материалами по вопросам, рассматриваемым </w:t>
      </w:r>
      <w:r w:rsidR="0040615F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381AA0"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="00381AA0" w:rsidRPr="00381AA0">
        <w:rPr>
          <w:rFonts w:ascii="Times New Roman" w:hAnsi="Times New Roman" w:cs="Times New Roman"/>
          <w:sz w:val="28"/>
          <w:szCs w:val="28"/>
        </w:rPr>
        <w:t>;</w:t>
      </w:r>
    </w:p>
    <w:p w:rsidR="00381AA0" w:rsidRDefault="00381AA0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A0">
        <w:rPr>
          <w:rFonts w:ascii="Times New Roman" w:hAnsi="Times New Roman" w:cs="Times New Roman"/>
          <w:sz w:val="28"/>
          <w:szCs w:val="28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381AA0">
        <w:rPr>
          <w:rFonts w:ascii="Times New Roman" w:hAnsi="Times New Roman" w:cs="Times New Roman"/>
          <w:sz w:val="28"/>
          <w:szCs w:val="28"/>
        </w:rPr>
        <w:t xml:space="preserve">выполняют поручения </w:t>
      </w:r>
      <w:r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="00435327">
        <w:rPr>
          <w:rFonts w:ascii="Times New Roman" w:hAnsi="Times New Roman" w:cs="Times New Roman"/>
          <w:sz w:val="28"/>
          <w:szCs w:val="28"/>
        </w:rPr>
        <w:t xml:space="preserve"> и её</w:t>
      </w:r>
      <w:r w:rsidRPr="00381AA0">
        <w:rPr>
          <w:rFonts w:ascii="Times New Roman" w:hAnsi="Times New Roman" w:cs="Times New Roman"/>
          <w:sz w:val="28"/>
          <w:szCs w:val="28"/>
        </w:rPr>
        <w:t xml:space="preserve"> председателя; </w:t>
      </w:r>
    </w:p>
    <w:p w:rsidR="00381AA0" w:rsidRDefault="00381AA0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A0">
        <w:rPr>
          <w:rFonts w:ascii="Times New Roman" w:hAnsi="Times New Roman" w:cs="Times New Roman"/>
          <w:sz w:val="28"/>
          <w:szCs w:val="28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381AA0">
        <w:rPr>
          <w:rFonts w:ascii="Times New Roman" w:hAnsi="Times New Roman" w:cs="Times New Roman"/>
          <w:sz w:val="28"/>
          <w:szCs w:val="28"/>
        </w:rPr>
        <w:t xml:space="preserve">участвуют в подготовке вопросов на заседания </w:t>
      </w:r>
      <w:r>
        <w:rPr>
          <w:rFonts w:ascii="Times New Roman" w:hAnsi="Times New Roman" w:cs="Times New Roman"/>
          <w:sz w:val="28"/>
          <w:szCs w:val="28"/>
        </w:rPr>
        <w:t>Специальной комиссии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381AA0">
        <w:rPr>
          <w:rFonts w:ascii="Times New Roman" w:hAnsi="Times New Roman" w:cs="Times New Roman"/>
          <w:sz w:val="28"/>
          <w:szCs w:val="28"/>
        </w:rPr>
        <w:t xml:space="preserve">и осуществляют необходимые меры по </w:t>
      </w:r>
      <w:r w:rsidR="0040615F">
        <w:rPr>
          <w:rFonts w:ascii="Times New Roman" w:hAnsi="Times New Roman" w:cs="Times New Roman"/>
          <w:sz w:val="28"/>
          <w:szCs w:val="28"/>
        </w:rPr>
        <w:t>ис</w:t>
      </w:r>
      <w:r w:rsidRPr="00381AA0">
        <w:rPr>
          <w:rFonts w:ascii="Times New Roman" w:hAnsi="Times New Roman" w:cs="Times New Roman"/>
          <w:sz w:val="28"/>
          <w:szCs w:val="28"/>
        </w:rPr>
        <w:t>полнению е</w:t>
      </w:r>
      <w:r w:rsidR="0040615F">
        <w:rPr>
          <w:rFonts w:ascii="Times New Roman" w:hAnsi="Times New Roman" w:cs="Times New Roman"/>
          <w:sz w:val="28"/>
          <w:szCs w:val="28"/>
        </w:rPr>
        <w:t>ё</w:t>
      </w:r>
      <w:r w:rsidRPr="00381AA0">
        <w:rPr>
          <w:rFonts w:ascii="Times New Roman" w:hAnsi="Times New Roman" w:cs="Times New Roman"/>
          <w:sz w:val="28"/>
          <w:szCs w:val="28"/>
        </w:rPr>
        <w:t xml:space="preserve"> решений; </w:t>
      </w:r>
    </w:p>
    <w:p w:rsidR="00381AA0" w:rsidRPr="00381AA0" w:rsidRDefault="00381AA0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A0">
        <w:rPr>
          <w:rFonts w:ascii="Times New Roman" w:hAnsi="Times New Roman" w:cs="Times New Roman"/>
          <w:sz w:val="28"/>
          <w:szCs w:val="28"/>
        </w:rPr>
        <w:t>-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381AA0">
        <w:rPr>
          <w:rFonts w:ascii="Times New Roman" w:hAnsi="Times New Roman" w:cs="Times New Roman"/>
          <w:sz w:val="28"/>
          <w:szCs w:val="28"/>
        </w:rPr>
        <w:t xml:space="preserve">докладывают на заседаниях </w:t>
      </w:r>
      <w:r>
        <w:rPr>
          <w:rFonts w:ascii="Times New Roman" w:hAnsi="Times New Roman" w:cs="Times New Roman"/>
          <w:sz w:val="28"/>
          <w:szCs w:val="28"/>
        </w:rPr>
        <w:t>Специальной комиссии</w:t>
      </w:r>
      <w:r w:rsidRPr="00381AA0">
        <w:rPr>
          <w:rFonts w:ascii="Times New Roman" w:hAnsi="Times New Roman" w:cs="Times New Roman"/>
          <w:sz w:val="28"/>
          <w:szCs w:val="28"/>
        </w:rPr>
        <w:t xml:space="preserve"> по вопроса</w:t>
      </w:r>
      <w:r>
        <w:rPr>
          <w:rFonts w:ascii="Times New Roman" w:hAnsi="Times New Roman" w:cs="Times New Roman"/>
          <w:sz w:val="28"/>
          <w:szCs w:val="28"/>
        </w:rPr>
        <w:t>м, относящимся к их компетенции.</w:t>
      </w:r>
    </w:p>
    <w:p w:rsidR="00544BE2" w:rsidRPr="004504ED" w:rsidRDefault="00544BE2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рассматриваемым вопросам для участия в заседаниях Специальной комиссии могут</w:t>
      </w:r>
      <w:r w:rsidRPr="00381A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 приглашены не являющиеся членами Специальной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615F"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4E9B" w:rsidRP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субъектов, заинтересованные физические лица.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B7F80" w:rsidRPr="004504ED" w:rsidRDefault="004B7F80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Заседание Специальной комиссии проводится по мере необходимости. Время и место проведения заседания </w:t>
      </w:r>
      <w:r w:rsidR="0040615F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Специальной комиссии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определяет председатель </w:t>
      </w:r>
      <w:r w:rsidR="0040615F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Специальной комиссии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Первое заседание проводится не позднее </w:t>
      </w:r>
      <w:r w:rsidR="00E01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рабочих дней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даты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поступления проекта муниципального правового акта. </w:t>
      </w:r>
    </w:p>
    <w:p w:rsidR="00430793" w:rsidRPr="004504ED" w:rsidRDefault="006E51B7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184E9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пециальной комиссии об одобрении либо об отказе</w:t>
      </w:r>
      <w:r w:rsid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одобрении проекта правового акта администрации города</w:t>
      </w:r>
      <w:r w:rsidR="004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</w:t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40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планируется первоначальное установление, отмена ранее установленных, увеличение или уменьшение минимально установленных значений и способа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города Мурманска, принимается большинством не менее двух третей общего числа членов </w:t>
      </w:r>
      <w:r w:rsid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54A8" w:rsidRPr="00A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пециальной комиссии</w:t>
      </w:r>
      <w:r w:rsidR="0043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4BE2" w:rsidRPr="004504ED" w:rsidRDefault="00544BE2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184E9B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14D6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</w:t>
      </w:r>
      <w:r w:rsidR="0043079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Специальной комиссии оформляются протоколом</w:t>
      </w:r>
      <w:r w:rsidR="0043532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</w:t>
      </w:r>
      <w:r w:rsidR="00962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трёх</w:t>
      </w:r>
      <w:r w:rsidR="00E01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рабочих дней с даты проведения итогового заседания</w:t>
      </w:r>
      <w:r w:rsidR="00430793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подписывают председатель и секретарь Специальной комиссии.</w:t>
      </w:r>
      <w:r w:rsidR="007C7594" w:rsidRP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01D1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б одобрении муниципального правового акта либо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отказе в его одобрении оформляется в течение </w:t>
      </w:r>
      <w:r w:rsidR="00962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E01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рабочих дней с даты проведения итогового заседания 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форме согласно </w:t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43532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C7594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подписывается всеми членами Специальной комиссии.</w:t>
      </w:r>
    </w:p>
    <w:p w:rsidR="00544BE2" w:rsidRPr="004504ED" w:rsidRDefault="00834261" w:rsidP="007C75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>.12.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544BE2" w:rsidRPr="006A2ECE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Специальной комиссии, не согласившийся с принятым решением, имеет право в письменном виде изложить своё особое мнение, которое подлежит обязательному приобщению к заключению и протоколу заседания Специальной комиссии.</w:t>
      </w:r>
    </w:p>
    <w:p w:rsidR="00184E9B" w:rsidRDefault="00184E9B" w:rsidP="00B642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4.1</w:t>
      </w:r>
      <w:r w:rsidR="007C759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Специальная комиссия может мотивированным решением отложить рассмотрение представленных материалов на определённый срок, но не более чем на 30</w:t>
      </w:r>
      <w:r w:rsidR="00E01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календарных дней, указав цели и причины такого решения </w:t>
      </w:r>
      <w:r w:rsidR="001B405A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(представлен неполный пакет </w:t>
      </w:r>
      <w:r w:rsidR="00834261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документов и материалов, материалы</w:t>
      </w:r>
      <w:r w:rsidR="002C707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34261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соответствуют рассматриваемой теме, необходимость доработки проведения оценки рисков).</w:t>
      </w:r>
    </w:p>
    <w:p w:rsidR="007C7594" w:rsidRPr="007C7594" w:rsidRDefault="007C7594" w:rsidP="00E50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Pr="007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пециальной комиссией об одобрении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рассматриваемого проекта правового акта данный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E5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общественное </w:t>
      </w:r>
      <w:r w:rsidRPr="007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проводимое в соответствии с</w:t>
      </w:r>
      <w:r w:rsidRPr="003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21.07.2014 № 212-ФЗ «Об основах общественного</w:t>
      </w:r>
      <w:r w:rsidR="00E5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500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395246" w:rsidRPr="00395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95246" w:rsidRPr="00395246">
        <w:rPr>
          <w:rFonts w:ascii="Times New Roman" w:hAnsi="Times New Roman" w:cs="Times New Roman"/>
          <w:iCs/>
          <w:sz w:val="28"/>
          <w:szCs w:val="28"/>
        </w:rPr>
        <w:t xml:space="preserve">остановлением администрации города Мурманска от 23.12.2016 </w:t>
      </w:r>
      <w:r w:rsidR="00395246">
        <w:rPr>
          <w:rFonts w:ascii="Times New Roman" w:hAnsi="Times New Roman" w:cs="Times New Roman"/>
          <w:iCs/>
          <w:sz w:val="28"/>
          <w:szCs w:val="28"/>
        </w:rPr>
        <w:t>№</w:t>
      </w:r>
      <w:r w:rsidR="00395246" w:rsidRPr="00395246">
        <w:rPr>
          <w:rFonts w:ascii="Times New Roman" w:hAnsi="Times New Roman" w:cs="Times New Roman"/>
          <w:iCs/>
          <w:sz w:val="28"/>
          <w:szCs w:val="28"/>
        </w:rPr>
        <w:t xml:space="preserve"> 3937 «Об утверждении Порядка проведения общественного обсуждения проектов муниципальных правовых актов администрации города Мурманска»</w:t>
      </w:r>
      <w:r w:rsidRPr="007C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07E" w:rsidRDefault="007C7594" w:rsidP="002C70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</w:t>
      </w:r>
      <w:r w:rsidR="002C707E" w:rsidRPr="002C707E">
        <w:rPr>
          <w:rFonts w:ascii="Times New Roman" w:hAnsi="Times New Roman"/>
          <w:sz w:val="28"/>
          <w:szCs w:val="28"/>
        </w:rPr>
        <w:t> </w:t>
      </w:r>
      <w:r w:rsidR="002C707E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вынесения заключения </w:t>
      </w:r>
      <w:r w:rsidR="0040615F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Специальной комиссии </w:t>
      </w:r>
      <w:r w:rsidR="002C707E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отказе</w:t>
      </w:r>
      <w:r w:rsidR="0040615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C707E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пунктами 3 - 6 Правил определения органами местного самоуправления границ прилегающих территорий, на которых</w:t>
      </w:r>
      <w:r w:rsidR="00C801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C707E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 утверждённых постановлением Правительства Российской Федерации</w:t>
      </w:r>
      <w:r w:rsidR="00C801C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C707E"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23.12.2020 № 2220.</w:t>
      </w:r>
    </w:p>
    <w:p w:rsidR="003F48EB" w:rsidRPr="004504ED" w:rsidRDefault="003F48EB" w:rsidP="003F48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</w:p>
    <w:p w:rsidR="00430793" w:rsidRPr="004504ED" w:rsidRDefault="0043079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4ED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DC2BE5" w:rsidRPr="00F91591" w:rsidRDefault="00DC2BE5" w:rsidP="009D736E">
      <w:pPr>
        <w:tabs>
          <w:tab w:val="left" w:pos="7797"/>
          <w:tab w:val="left" w:pos="921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Pr="00F9159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2BE5" w:rsidRPr="00DC2BE5" w:rsidRDefault="00DC2BE5" w:rsidP="00DC2BE5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C2BE5">
        <w:rPr>
          <w:rFonts w:ascii="Times New Roman" w:hAnsi="Times New Roman" w:cs="Times New Roman"/>
          <w:sz w:val="28"/>
          <w:szCs w:val="28"/>
        </w:rPr>
        <w:t xml:space="preserve">                                        к Положению </w:t>
      </w:r>
    </w:p>
    <w:p w:rsidR="0076683B" w:rsidRPr="00DC2BE5" w:rsidRDefault="0076683B" w:rsidP="0076683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6683B" w:rsidRPr="00DC2BE5" w:rsidRDefault="0076683B" w:rsidP="009D73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комиссии по оценке проекта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</w:t>
      </w:r>
      <w:bookmarkStart w:id="0" w:name="_GoBack"/>
      <w:bookmarkEnd w:id="0"/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продукции при оказании услуг общественного питания на территории муниципального образования город Мурманск </w:t>
      </w:r>
    </w:p>
    <w:p w:rsidR="0076683B" w:rsidRPr="00DC2BE5" w:rsidRDefault="0076683B" w:rsidP="0076683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муниципального правового акта</w:t>
      </w:r>
    </w:p>
    <w:p w:rsidR="006E51B7" w:rsidRPr="00DC2BE5" w:rsidRDefault="006E51B7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3B" w:rsidRPr="00DC2BE5" w:rsidRDefault="0076683B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</w:t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5327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 20__г.</w:t>
      </w:r>
    </w:p>
    <w:p w:rsidR="0076683B" w:rsidRPr="00DC2BE5" w:rsidRDefault="0076683B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E" w:rsidRPr="00DC2BE5" w:rsidRDefault="0076683B" w:rsidP="004B7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</w:t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8C3A4E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одобрении</w:t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3A4E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правового акта:</w:t>
      </w:r>
    </w:p>
    <w:p w:rsidR="0076683B" w:rsidRPr="00DC2BE5" w:rsidRDefault="009925EF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C3A4E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395246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6683B" w:rsidRPr="00DC2BE5" w:rsidRDefault="008C3A4E" w:rsidP="008C3A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проекта муниципального правового акта)</w:t>
      </w:r>
    </w:p>
    <w:p w:rsidR="00395246" w:rsidRPr="00DC2BE5" w:rsidRDefault="00395246" w:rsidP="0039524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C7594" w:rsidRPr="00DC2BE5" w:rsidRDefault="00395246" w:rsidP="00DC2BE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принятия решения об отказе </w:t>
      </w:r>
      <w:r w:rsidR="007C7594"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одобрении проекта муниципального правового акта и направ</w:t>
      </w:r>
      <w:r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лении  его </w:t>
      </w:r>
      <w:r w:rsidR="007C7594"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доработку</w:t>
      </w:r>
      <w:r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причины</w:t>
      </w:r>
      <w:r w:rsidR="00381AA0"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послужившие основанием для отказа</w:t>
      </w:r>
      <w:r w:rsidRPr="00DC2BE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C3A4E" w:rsidRPr="00DC2BE5" w:rsidRDefault="009925EF" w:rsidP="008C3A4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3A4E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олосовани</w:t>
      </w: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A4E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634" w:type="dxa"/>
        <w:tblLook w:val="04A0"/>
      </w:tblPr>
      <w:tblGrid>
        <w:gridCol w:w="594"/>
        <w:gridCol w:w="2207"/>
        <w:gridCol w:w="824"/>
        <w:gridCol w:w="1383"/>
        <w:gridCol w:w="2051"/>
        <w:gridCol w:w="2575"/>
      </w:tblGrid>
      <w:tr w:rsidR="008C3A4E" w:rsidRPr="00DC2BE5" w:rsidTr="009925EF">
        <w:tc>
          <w:tcPr>
            <w:tcW w:w="59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2378" w:type="dxa"/>
          </w:tcPr>
          <w:p w:rsidR="008C3A4E" w:rsidRPr="00DC2BE5" w:rsidRDefault="008C3A4E" w:rsidP="008C3A4E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Ф</w:t>
            </w:r>
            <w:r w:rsidR="00435327" w:rsidRPr="00DC2BE5">
              <w:rPr>
                <w:rFonts w:eastAsia="Times New Roman"/>
                <w:sz w:val="28"/>
                <w:szCs w:val="28"/>
              </w:rPr>
              <w:t>.И.</w:t>
            </w:r>
            <w:r w:rsidRPr="00DC2BE5">
              <w:rPr>
                <w:rFonts w:eastAsia="Times New Roman"/>
                <w:sz w:val="28"/>
                <w:szCs w:val="28"/>
              </w:rPr>
              <w:t>О</w:t>
            </w:r>
            <w:r w:rsidR="00435327" w:rsidRPr="00DC2BE5">
              <w:rPr>
                <w:rFonts w:eastAsia="Times New Roman"/>
                <w:sz w:val="28"/>
                <w:szCs w:val="28"/>
              </w:rPr>
              <w:t>.</w:t>
            </w:r>
          </w:p>
          <w:p w:rsidR="008C3A4E" w:rsidRPr="00DC2BE5" w:rsidRDefault="008C3A4E" w:rsidP="008C3A4E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членов Специальной комиссии</w:t>
            </w:r>
          </w:p>
        </w:tc>
        <w:tc>
          <w:tcPr>
            <w:tcW w:w="851" w:type="dxa"/>
            <w:vAlign w:val="center"/>
          </w:tcPr>
          <w:p w:rsidR="008C3A4E" w:rsidRPr="00DC2BE5" w:rsidRDefault="008C3A4E" w:rsidP="008C3A4E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«За»</w:t>
            </w:r>
          </w:p>
        </w:tc>
        <w:tc>
          <w:tcPr>
            <w:tcW w:w="1134" w:type="dxa"/>
            <w:vAlign w:val="center"/>
          </w:tcPr>
          <w:p w:rsidR="008C3A4E" w:rsidRPr="00DC2BE5" w:rsidRDefault="008C3A4E" w:rsidP="008C3A4E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«Против»</w:t>
            </w:r>
          </w:p>
        </w:tc>
        <w:tc>
          <w:tcPr>
            <w:tcW w:w="1775" w:type="dxa"/>
            <w:vAlign w:val="center"/>
          </w:tcPr>
          <w:p w:rsidR="008C3A4E" w:rsidRPr="00DC2BE5" w:rsidRDefault="008C3A4E" w:rsidP="00435327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«Воздержал</w:t>
            </w:r>
            <w:r w:rsidR="00435327" w:rsidRPr="00DC2BE5">
              <w:rPr>
                <w:rFonts w:eastAsia="Times New Roman"/>
                <w:sz w:val="28"/>
                <w:szCs w:val="28"/>
              </w:rPr>
              <w:t>ся</w:t>
            </w:r>
            <w:r w:rsidRPr="00DC2BE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902" w:type="dxa"/>
            <w:vAlign w:val="center"/>
          </w:tcPr>
          <w:p w:rsidR="008C3A4E" w:rsidRPr="00DC2BE5" w:rsidRDefault="008C3A4E" w:rsidP="008C3A4E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Подпись члена Специальной комиссии</w:t>
            </w:r>
          </w:p>
        </w:tc>
      </w:tr>
      <w:tr w:rsidR="008C3A4E" w:rsidRPr="00DC2BE5" w:rsidTr="009925EF">
        <w:tc>
          <w:tcPr>
            <w:tcW w:w="59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C3A4E" w:rsidRPr="00DC2BE5" w:rsidTr="009925EF">
        <w:tc>
          <w:tcPr>
            <w:tcW w:w="59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C3A4E" w:rsidRPr="00DC2BE5" w:rsidTr="009925EF">
        <w:tc>
          <w:tcPr>
            <w:tcW w:w="59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C3A4E" w:rsidRPr="00DC2BE5" w:rsidTr="009925EF">
        <w:tc>
          <w:tcPr>
            <w:tcW w:w="59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DC2BE5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2378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8C3A4E" w:rsidRPr="00DC2BE5" w:rsidRDefault="008C3A4E" w:rsidP="008C3A4E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C3A4E" w:rsidRPr="00DC2BE5" w:rsidRDefault="008C3A4E" w:rsidP="004B7F8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«за» - ____, «против» - _____, «воздержались» - ____.</w:t>
      </w:r>
    </w:p>
    <w:p w:rsidR="008C3A4E" w:rsidRPr="00DC2BE5" w:rsidRDefault="008C3A4E" w:rsidP="008C3A4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___________________________________________ голосами.</w:t>
      </w:r>
    </w:p>
    <w:p w:rsidR="008C3A4E" w:rsidRPr="00DC2BE5" w:rsidRDefault="008C3A4E" w:rsidP="008C3A4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8C3A4E" w:rsidRPr="00DC2BE5" w:rsidRDefault="008C3A4E" w:rsidP="00DC2BE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проект муниципального правового акта</w:t>
      </w:r>
      <w:r w:rsidR="007C7594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«</w:t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одобрении проекта муниципального правового акта и направить</w:t>
      </w:r>
      <w:r w:rsid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</w:t>
      </w:r>
      <w:r w:rsidR="007C7594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683B" w:rsidRPr="00DC2BE5" w:rsidRDefault="0076683B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3B" w:rsidRPr="00DC2BE5" w:rsidRDefault="009925EF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Специальной комиссии:</w:t>
      </w:r>
    </w:p>
    <w:p w:rsidR="009925EF" w:rsidRPr="00DC2BE5" w:rsidRDefault="009925EF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B8A" w:rsidRPr="00DC2BE5" w:rsidRDefault="009925EF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Специальной комиссии:</w:t>
      </w:r>
    </w:p>
    <w:p w:rsidR="00630B8A" w:rsidRPr="00DC2BE5" w:rsidRDefault="00630B8A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28" w:rsidRPr="00DC2BE5" w:rsidRDefault="00630B8A" w:rsidP="00656DD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Специальной комиссии:</w:t>
      </w:r>
      <w:r w:rsidR="009925EF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3728FB" w:rsidRDefault="00FE1660" w:rsidP="0083426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728FB" w:rsidRPr="00DC2B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728FB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sectPr w:rsidR="003728FB" w:rsidSect="003F48EB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F6" w:rsidRDefault="006604F6" w:rsidP="00FE1660">
      <w:pPr>
        <w:spacing w:after="0" w:line="240" w:lineRule="auto"/>
      </w:pPr>
      <w:r>
        <w:separator/>
      </w:r>
    </w:p>
  </w:endnote>
  <w:endnote w:type="continuationSeparator" w:id="0">
    <w:p w:rsidR="006604F6" w:rsidRDefault="006604F6" w:rsidP="00F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F6" w:rsidRDefault="006604F6" w:rsidP="00FE1660">
      <w:pPr>
        <w:spacing w:after="0" w:line="240" w:lineRule="auto"/>
      </w:pPr>
      <w:r>
        <w:separator/>
      </w:r>
    </w:p>
  </w:footnote>
  <w:footnote w:type="continuationSeparator" w:id="0">
    <w:p w:rsidR="006604F6" w:rsidRDefault="006604F6" w:rsidP="00FE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25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660" w:rsidRPr="00FE1660" w:rsidRDefault="00963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16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1660" w:rsidRPr="00FE16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16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2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16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660" w:rsidRDefault="00FE16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92"/>
    <w:rsid w:val="00014CD3"/>
    <w:rsid w:val="00021706"/>
    <w:rsid w:val="00085007"/>
    <w:rsid w:val="00087DAF"/>
    <w:rsid w:val="000D0596"/>
    <w:rsid w:val="000F0FDF"/>
    <w:rsid w:val="000F62F9"/>
    <w:rsid w:val="00107D48"/>
    <w:rsid w:val="00110E66"/>
    <w:rsid w:val="00115392"/>
    <w:rsid w:val="00117C85"/>
    <w:rsid w:val="00130554"/>
    <w:rsid w:val="00184E9B"/>
    <w:rsid w:val="001B405A"/>
    <w:rsid w:val="001B70DA"/>
    <w:rsid w:val="00251228"/>
    <w:rsid w:val="002512A5"/>
    <w:rsid w:val="00266D14"/>
    <w:rsid w:val="002905D4"/>
    <w:rsid w:val="002C707E"/>
    <w:rsid w:val="002D517C"/>
    <w:rsid w:val="00303E8E"/>
    <w:rsid w:val="00322DE4"/>
    <w:rsid w:val="003728FB"/>
    <w:rsid w:val="00381AA0"/>
    <w:rsid w:val="0039171A"/>
    <w:rsid w:val="00395246"/>
    <w:rsid w:val="003C51B8"/>
    <w:rsid w:val="003F48EB"/>
    <w:rsid w:val="0040615F"/>
    <w:rsid w:val="00410F19"/>
    <w:rsid w:val="00425992"/>
    <w:rsid w:val="00430793"/>
    <w:rsid w:val="00430E00"/>
    <w:rsid w:val="00435327"/>
    <w:rsid w:val="004504ED"/>
    <w:rsid w:val="004652D3"/>
    <w:rsid w:val="00470103"/>
    <w:rsid w:val="00481EA0"/>
    <w:rsid w:val="004974B2"/>
    <w:rsid w:val="004B5DAA"/>
    <w:rsid w:val="004B7F80"/>
    <w:rsid w:val="004D03F6"/>
    <w:rsid w:val="004F61FE"/>
    <w:rsid w:val="00513081"/>
    <w:rsid w:val="00532CC2"/>
    <w:rsid w:val="00544BE2"/>
    <w:rsid w:val="00546DF2"/>
    <w:rsid w:val="00585220"/>
    <w:rsid w:val="00592AE5"/>
    <w:rsid w:val="005B0732"/>
    <w:rsid w:val="005B18C7"/>
    <w:rsid w:val="005E56AB"/>
    <w:rsid w:val="0060364B"/>
    <w:rsid w:val="00617C85"/>
    <w:rsid w:val="00630B8A"/>
    <w:rsid w:val="00631F31"/>
    <w:rsid w:val="00637016"/>
    <w:rsid w:val="00656DDE"/>
    <w:rsid w:val="006604F6"/>
    <w:rsid w:val="006A2ECE"/>
    <w:rsid w:val="006C623B"/>
    <w:rsid w:val="006E51B7"/>
    <w:rsid w:val="006F46C2"/>
    <w:rsid w:val="00707D46"/>
    <w:rsid w:val="00734AC7"/>
    <w:rsid w:val="00741241"/>
    <w:rsid w:val="0076683B"/>
    <w:rsid w:val="007942DD"/>
    <w:rsid w:val="00795E5D"/>
    <w:rsid w:val="007C7594"/>
    <w:rsid w:val="00834261"/>
    <w:rsid w:val="0086579D"/>
    <w:rsid w:val="0087445F"/>
    <w:rsid w:val="00885156"/>
    <w:rsid w:val="008C3A4E"/>
    <w:rsid w:val="008F4B7C"/>
    <w:rsid w:val="00911EB9"/>
    <w:rsid w:val="0096225B"/>
    <w:rsid w:val="00963F71"/>
    <w:rsid w:val="00980864"/>
    <w:rsid w:val="00991100"/>
    <w:rsid w:val="009925EF"/>
    <w:rsid w:val="0099264F"/>
    <w:rsid w:val="009D736E"/>
    <w:rsid w:val="009E277B"/>
    <w:rsid w:val="009E2F6A"/>
    <w:rsid w:val="009F55C6"/>
    <w:rsid w:val="00A93631"/>
    <w:rsid w:val="00AA28F6"/>
    <w:rsid w:val="00AE54A8"/>
    <w:rsid w:val="00B14D69"/>
    <w:rsid w:val="00B64280"/>
    <w:rsid w:val="00B77EEF"/>
    <w:rsid w:val="00BA2FB5"/>
    <w:rsid w:val="00C05EC8"/>
    <w:rsid w:val="00C27255"/>
    <w:rsid w:val="00C510C5"/>
    <w:rsid w:val="00C642DD"/>
    <w:rsid w:val="00C678BF"/>
    <w:rsid w:val="00C801CE"/>
    <w:rsid w:val="00C93E30"/>
    <w:rsid w:val="00CA7369"/>
    <w:rsid w:val="00CB4C39"/>
    <w:rsid w:val="00CC6B5E"/>
    <w:rsid w:val="00CF17EA"/>
    <w:rsid w:val="00CF2AB3"/>
    <w:rsid w:val="00D051B8"/>
    <w:rsid w:val="00D357ED"/>
    <w:rsid w:val="00D35B77"/>
    <w:rsid w:val="00D40921"/>
    <w:rsid w:val="00D55EB7"/>
    <w:rsid w:val="00D730D3"/>
    <w:rsid w:val="00D77DE3"/>
    <w:rsid w:val="00D90798"/>
    <w:rsid w:val="00DB7611"/>
    <w:rsid w:val="00DC2BE5"/>
    <w:rsid w:val="00DC3D28"/>
    <w:rsid w:val="00DE3975"/>
    <w:rsid w:val="00E01D17"/>
    <w:rsid w:val="00E24A7A"/>
    <w:rsid w:val="00E50027"/>
    <w:rsid w:val="00EB35F5"/>
    <w:rsid w:val="00EC67FC"/>
    <w:rsid w:val="00F44EF8"/>
    <w:rsid w:val="00F64208"/>
    <w:rsid w:val="00F65110"/>
    <w:rsid w:val="00F668DE"/>
    <w:rsid w:val="00F80EC5"/>
    <w:rsid w:val="00F84D2D"/>
    <w:rsid w:val="00F9058D"/>
    <w:rsid w:val="00FB53F0"/>
    <w:rsid w:val="00FE1660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660"/>
  </w:style>
  <w:style w:type="paragraph" w:styleId="a6">
    <w:name w:val="footer"/>
    <w:basedOn w:val="a"/>
    <w:link w:val="a7"/>
    <w:uiPriority w:val="99"/>
    <w:unhideWhenUsed/>
    <w:rsid w:val="00F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660"/>
  </w:style>
  <w:style w:type="paragraph" w:styleId="a8">
    <w:name w:val="Balloon Text"/>
    <w:basedOn w:val="a"/>
    <w:link w:val="a9"/>
    <w:uiPriority w:val="99"/>
    <w:semiHidden/>
    <w:unhideWhenUsed/>
    <w:rsid w:val="0008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00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46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46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46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46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46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E6FBBD346C443B9619631CA0F1C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F483D-1634-46A2-92DD-8EE326D98D01}"/>
      </w:docPartPr>
      <w:docPartBody>
        <w:p w:rsidR="00197445" w:rsidRDefault="001F0083" w:rsidP="001F0083">
          <w:pPr>
            <w:pStyle w:val="61E6FBBD346C443B9619631CA0F1C69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F0083"/>
    <w:rsid w:val="00155048"/>
    <w:rsid w:val="00197445"/>
    <w:rsid w:val="001F0083"/>
    <w:rsid w:val="00B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083"/>
    <w:rPr>
      <w:color w:val="808080"/>
    </w:rPr>
  </w:style>
  <w:style w:type="paragraph" w:customStyle="1" w:styleId="2E40796B5DFF4429B189A2871F9BE4F7">
    <w:name w:val="2E40796B5DFF4429B189A2871F9BE4F7"/>
    <w:rsid w:val="001F0083"/>
  </w:style>
  <w:style w:type="paragraph" w:customStyle="1" w:styleId="61E6FBBD346C443B9619631CA0F1C69B">
    <w:name w:val="61E6FBBD346C443B9619631CA0F1C69B"/>
    <w:rsid w:val="001F00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0297-A19A-4B95-BC18-C14633D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SergeevaAA</cp:lastModifiedBy>
  <cp:revision>8</cp:revision>
  <cp:lastPrinted>2022-12-09T05:46:00Z</cp:lastPrinted>
  <dcterms:created xsi:type="dcterms:W3CDTF">2022-12-14T07:19:00Z</dcterms:created>
  <dcterms:modified xsi:type="dcterms:W3CDTF">2022-12-14T14:11:00Z</dcterms:modified>
</cp:coreProperties>
</file>